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Lines="0" w:afterLines="0" w:line="590" w:lineRule="exact"/>
        <w:ind w:left="0" w:leftChars="0" w:firstLine="0" w:firstLineChars="0"/>
        <w:rPr>
          <w:rFonts w:hint="default"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附件1</w:t>
      </w:r>
    </w:p>
    <w:p>
      <w:pPr>
        <w:adjustRightInd w:val="0"/>
        <w:snapToGrid w:val="0"/>
        <w:spacing w:beforeLines="0" w:afterLines="0" w:line="590" w:lineRule="exact"/>
        <w:ind w:left="0" w:leftChars="0" w:firstLine="640" w:firstLineChars="200"/>
        <w:jc w:val="both"/>
        <w:rPr>
          <w:rFonts w:hint="eastAsia" w:ascii="仿宋_GB2312" w:hAnsi="仿宋_GB2312" w:eastAsia="仿宋_GB2312" w:cs="仿宋_GB2312"/>
          <w:kern w:val="0"/>
          <w:sz w:val="32"/>
          <w:szCs w:val="32"/>
          <w:u w:val="none"/>
          <w:lang w:val="en-US" w:eastAsia="zh-CN"/>
        </w:rPr>
      </w:pPr>
    </w:p>
    <w:p>
      <w:pPr>
        <w:adjustRightInd w:val="0"/>
        <w:snapToGrid w:val="0"/>
        <w:spacing w:beforeLines="0" w:afterLines="0" w:line="590" w:lineRule="exact"/>
        <w:ind w:left="0" w:leftChars="0" w:firstLine="0" w:firstLineChars="0"/>
        <w:jc w:val="center"/>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u w:val="none"/>
          <w:lang w:val="en-US" w:eastAsia="zh-CN"/>
        </w:rPr>
        <w:t>（产业园名称）</w:t>
      </w:r>
      <w:r>
        <w:rPr>
          <w:rFonts w:hint="eastAsia" w:ascii="方正小标宋简体" w:hAnsi="方正小标宋简体" w:eastAsia="方正小标宋简体" w:cs="方正小标宋简体"/>
          <w:kern w:val="0"/>
          <w:sz w:val="44"/>
          <w:szCs w:val="44"/>
          <w:lang w:val="en-US" w:eastAsia="zh-CN"/>
        </w:rPr>
        <w:t>中期评估报告</w:t>
      </w:r>
      <w:bookmarkStart w:id="1" w:name="_GoBack"/>
      <w:bookmarkEnd w:id="1"/>
    </w:p>
    <w:p>
      <w:pPr>
        <w:adjustRightInd w:val="0"/>
        <w:snapToGrid w:val="0"/>
        <w:spacing w:beforeLines="0" w:afterLines="0" w:line="590" w:lineRule="exact"/>
        <w:ind w:left="0" w:leftChars="0" w:firstLine="0" w:firstLineChars="0"/>
        <w:jc w:val="center"/>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（参考模板）</w:t>
      </w:r>
    </w:p>
    <w:p>
      <w:pPr>
        <w:adjustRightInd w:val="0"/>
        <w:snapToGrid w:val="0"/>
        <w:spacing w:beforeLines="0" w:afterLines="0" w:line="590" w:lineRule="exact"/>
        <w:ind w:left="0" w:leftChars="0" w:firstLine="640" w:firstLineChars="200"/>
        <w:jc w:val="both"/>
        <w:rPr>
          <w:rFonts w:hint="eastAsia" w:ascii="仿宋_GB2312" w:hAnsi="仿宋_GB2312" w:eastAsia="仿宋_GB2312" w:cs="仿宋_GB2312"/>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产业园基本情况，包括产业园区域范围、面积、主要产业、产值、农民人均可支配收入、带动农户数、投资情况等，给出自评估得分。</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黑体" w:hAnsi="黑体" w:eastAsia="黑体" w:cs="黑体"/>
          <w:kern w:val="0"/>
          <w:sz w:val="32"/>
          <w:szCs w:val="32"/>
          <w:lang w:val="en-US" w:eastAsia="zh-CN"/>
        </w:rPr>
        <w:t>一、</w:t>
      </w:r>
      <w:r>
        <w:rPr>
          <w:rFonts w:hint="eastAsia" w:ascii="黑体" w:hAnsi="黑体" w:eastAsia="黑体" w:cs="黑体"/>
          <w:b w:val="0"/>
          <w:bCs w:val="0"/>
          <w:color w:val="auto"/>
          <w:kern w:val="0"/>
          <w:sz w:val="32"/>
          <w:szCs w:val="32"/>
          <w:lang w:val="en-US" w:eastAsia="zh-CN"/>
        </w:rPr>
        <w:t>组织管理情况。</w:t>
      </w:r>
      <w:r>
        <w:rPr>
          <w:rFonts w:hint="eastAsia" w:ascii="仿宋_GB2312" w:hAnsi="仿宋_GB2312" w:eastAsia="仿宋_GB2312" w:cs="仿宋_GB2312"/>
          <w:color w:val="auto"/>
          <w:kern w:val="0"/>
          <w:sz w:val="32"/>
          <w:szCs w:val="32"/>
          <w:lang w:val="en-US" w:eastAsia="zh-CN"/>
        </w:rPr>
        <w:t>包</w:t>
      </w:r>
      <w:r>
        <w:rPr>
          <w:rFonts w:hint="eastAsia" w:ascii="仿宋_GB2312" w:hAnsi="仿宋_GB2312" w:eastAsia="仿宋_GB2312" w:cs="仿宋_GB2312"/>
          <w:bCs/>
          <w:kern w:val="0"/>
          <w:sz w:val="32"/>
          <w:szCs w:val="32"/>
          <w:lang w:val="en-US" w:eastAsia="zh-CN"/>
        </w:rPr>
        <w:t>括</w:t>
      </w:r>
      <w:r>
        <w:rPr>
          <w:rFonts w:hint="eastAsia" w:ascii="仿宋_GB2312" w:hAnsi="仿宋_GB2312" w:eastAsia="仿宋_GB2312" w:cs="仿宋_GB2312"/>
          <w:bCs/>
          <w:i w:val="0"/>
          <w:iCs w:val="0"/>
          <w:color w:val="auto"/>
          <w:kern w:val="0"/>
          <w:sz w:val="32"/>
          <w:szCs w:val="32"/>
          <w:u w:val="none"/>
          <w:lang w:val="en-US" w:eastAsia="zh-CN" w:bidi="ar"/>
        </w:rPr>
        <w:t>产业园管理工作</w:t>
      </w:r>
      <w:r>
        <w:rPr>
          <w:rFonts w:hint="eastAsia" w:ascii="仿宋_GB2312" w:hAnsi="仿宋_GB2312" w:eastAsia="仿宋_GB2312" w:cs="仿宋_GB2312"/>
          <w:bCs/>
          <w:color w:val="auto"/>
          <w:kern w:val="0"/>
          <w:sz w:val="32"/>
          <w:szCs w:val="32"/>
          <w:lang w:val="en-US" w:eastAsia="zh-CN"/>
        </w:rPr>
        <w:t>情况、实施主体资格审核管理情况以及是否存在“一票否决”情形</w:t>
      </w:r>
      <w:r>
        <w:rPr>
          <w:rFonts w:hint="eastAsia" w:ascii="仿宋_GB2312" w:hAnsi="仿宋_GB2312" w:eastAsia="仿宋_GB2312" w:cs="仿宋_GB2312"/>
          <w:color w:val="auto"/>
          <w:kern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firstLine="640" w:firstLineChars="200"/>
        <w:jc w:val="both"/>
        <w:textAlignment w:val="auto"/>
        <w:rPr>
          <w:rFonts w:hint="eastAsia" w:ascii="仿宋_GB2312" w:hAnsi="仿宋_GB2312" w:eastAsia="仿宋_GB2312" w:cs="仿宋_GB2312"/>
          <w:kern w:val="0"/>
          <w:lang w:val="en-US" w:eastAsia="zh-CN"/>
        </w:rPr>
      </w:pPr>
      <w:r>
        <w:rPr>
          <w:rFonts w:hint="eastAsia" w:ascii="黑体" w:hAnsi="黑体" w:eastAsia="黑体" w:cs="黑体"/>
          <w:kern w:val="0"/>
          <w:sz w:val="32"/>
          <w:szCs w:val="32"/>
          <w:lang w:val="en-US" w:eastAsia="zh-CN"/>
        </w:rPr>
        <w:t>二、项目实施情况。</w:t>
      </w:r>
      <w:r>
        <w:rPr>
          <w:rFonts w:hint="eastAsia" w:ascii="仿宋_GB2312" w:hAnsi="仿宋_GB2312" w:eastAsia="仿宋_GB2312" w:cs="仿宋_GB2312"/>
          <w:kern w:val="0"/>
          <w:sz w:val="32"/>
          <w:szCs w:val="32"/>
          <w:lang w:val="en-US" w:eastAsia="zh-CN"/>
        </w:rPr>
        <w:t>对照备案的资金使用方案，重点阐述</w:t>
      </w:r>
      <w:r>
        <w:rPr>
          <w:rFonts w:hint="eastAsia" w:ascii="仿宋_GB2312" w:hAnsi="仿宋_GB2312" w:eastAsia="仿宋_GB2312" w:cs="仿宋_GB2312"/>
          <w:b w:val="0"/>
          <w:bCs/>
          <w:kern w:val="0"/>
          <w:sz w:val="32"/>
          <w:szCs w:val="32"/>
          <w:lang w:val="en-US" w:eastAsia="zh-CN"/>
        </w:rPr>
        <w:t>包括主导产业现有规模、产业园项目开工率、</w:t>
      </w:r>
      <w:r>
        <w:rPr>
          <w:rFonts w:hint="eastAsia" w:ascii="仿宋_GB2312" w:hAnsi="仿宋_GB2312" w:eastAsia="仿宋_GB2312" w:cs="仿宋_GB2312"/>
          <w:bCs/>
          <w:i w:val="0"/>
          <w:iCs w:val="0"/>
          <w:kern w:val="0"/>
          <w:sz w:val="32"/>
          <w:szCs w:val="32"/>
          <w:u w:val="none"/>
          <w:lang w:val="en-US" w:eastAsia="zh-CN" w:bidi="ar"/>
        </w:rPr>
        <w:t>产业园建设项目完成情况</w:t>
      </w:r>
      <w:r>
        <w:rPr>
          <w:rFonts w:hint="eastAsia" w:ascii="仿宋_GB2312" w:hAnsi="仿宋_GB2312" w:eastAsia="仿宋_GB2312" w:cs="仿宋_GB2312"/>
          <w:b w:val="0"/>
          <w:bCs/>
          <w:kern w:val="0"/>
          <w:sz w:val="32"/>
          <w:szCs w:val="32"/>
          <w:lang w:val="en-US" w:eastAsia="zh-CN"/>
        </w:rPr>
        <w:t>、基础设施配套情况</w:t>
      </w:r>
      <w:r>
        <w:rPr>
          <w:rFonts w:hint="eastAsia" w:ascii="仿宋_GB2312" w:hAnsi="仿宋_GB2312" w:eastAsia="仿宋_GB2312" w:cs="仿宋_GB2312"/>
          <w:bCs/>
          <w:i w:val="0"/>
          <w:iCs w:val="0"/>
          <w:kern w:val="0"/>
          <w:sz w:val="32"/>
          <w:szCs w:val="32"/>
          <w:u w:val="none"/>
          <w:lang w:val="en-US" w:eastAsia="zh-CN" w:bidi="ar"/>
        </w:rPr>
        <w:t>、</w:t>
      </w:r>
      <w:r>
        <w:rPr>
          <w:rFonts w:hint="eastAsia" w:ascii="仿宋_GB2312" w:hAnsi="仿宋_GB2312" w:eastAsia="仿宋_GB2312" w:cs="仿宋_GB2312"/>
          <w:b w:val="0"/>
          <w:bCs/>
          <w:kern w:val="0"/>
          <w:sz w:val="32"/>
          <w:szCs w:val="32"/>
          <w:lang w:val="en-US" w:eastAsia="zh-CN"/>
        </w:rPr>
        <w:t>年度绩效目标完成情况、</w:t>
      </w:r>
      <w:r>
        <w:rPr>
          <w:rFonts w:hint="eastAsia" w:ascii="仿宋_GB2312" w:hAnsi="仿宋_GB2312" w:eastAsia="仿宋_GB2312" w:cs="仿宋_GB2312"/>
          <w:bCs/>
          <w:kern w:val="0"/>
          <w:sz w:val="32"/>
          <w:szCs w:val="32"/>
          <w:lang w:val="en-US" w:eastAsia="zh-CN"/>
        </w:rPr>
        <w:t>落实建</w:t>
      </w:r>
      <w:r>
        <w:rPr>
          <w:rFonts w:hint="eastAsia" w:ascii="仿宋_GB2312" w:hAnsi="仿宋_GB2312" w:eastAsia="仿宋_GB2312" w:cs="仿宋_GB2312"/>
          <w:color w:val="auto"/>
          <w:kern w:val="0"/>
          <w:sz w:val="32"/>
          <w:szCs w:val="32"/>
          <w:lang w:val="en-US" w:eastAsia="zh-CN"/>
        </w:rPr>
        <w:t>设用地数量</w:t>
      </w:r>
      <w:r>
        <w:rPr>
          <w:rFonts w:hint="eastAsia" w:ascii="仿宋_GB2312" w:hAnsi="仿宋_GB2312" w:eastAsia="仿宋_GB2312" w:cs="仿宋_GB2312"/>
          <w:b w:val="0"/>
          <w:bCs/>
          <w:kern w:val="0"/>
          <w:sz w:val="32"/>
          <w:szCs w:val="32"/>
          <w:lang w:val="en-US" w:eastAsia="zh-CN"/>
        </w:rPr>
        <w:t>等情况。</w:t>
      </w:r>
    </w:p>
    <w:p>
      <w:pPr>
        <w:keepNext w:val="0"/>
        <w:keepLines w:val="0"/>
        <w:numPr>
          <w:ilvl w:val="0"/>
          <w:numId w:val="0"/>
        </w:numPr>
        <w:adjustRightInd w:val="0"/>
        <w:snapToGrid w:val="0"/>
        <w:spacing w:beforeLines="0" w:afterLines="0" w:line="590" w:lineRule="exact"/>
        <w:ind w:firstLine="640" w:firstLineChars="200"/>
        <w:rPr>
          <w:rFonts w:hint="default"/>
          <w:kern w:val="0"/>
          <w:lang w:val="en-US" w:eastAsia="zh-CN"/>
        </w:rPr>
      </w:pPr>
      <w:r>
        <w:rPr>
          <w:rFonts w:hint="eastAsia" w:ascii="黑体" w:hAnsi="黑体" w:eastAsia="黑体" w:cs="黑体"/>
          <w:b w:val="0"/>
          <w:bCs w:val="0"/>
          <w:color w:val="auto"/>
          <w:kern w:val="0"/>
          <w:sz w:val="32"/>
          <w:szCs w:val="32"/>
          <w:lang w:val="en-US" w:eastAsia="zh-CN"/>
        </w:rPr>
        <w:t>三、</w:t>
      </w:r>
      <w:r>
        <w:rPr>
          <w:rFonts w:hint="eastAsia" w:ascii="黑体" w:hAnsi="黑体" w:eastAsia="黑体" w:cs="黑体"/>
          <w:kern w:val="0"/>
          <w:sz w:val="32"/>
          <w:szCs w:val="32"/>
          <w:lang w:val="en-US" w:eastAsia="zh-CN"/>
        </w:rPr>
        <w:t>资金使用情况。</w:t>
      </w:r>
      <w:r>
        <w:rPr>
          <w:rFonts w:hint="eastAsia" w:ascii="仿宋_GB2312" w:hAnsi="仿宋_GB2312" w:eastAsia="仿宋_GB2312" w:cs="仿宋_GB2312"/>
          <w:kern w:val="0"/>
          <w:sz w:val="32"/>
          <w:szCs w:val="32"/>
          <w:lang w:val="en-US" w:eastAsia="zh-CN"/>
        </w:rPr>
        <w:t>对照备案的资金使用方案，重点阐述产业园资金执行进度和规范使用等情况。</w:t>
      </w:r>
      <w:r>
        <w:rPr>
          <w:rFonts w:hint="eastAsia" w:ascii="仿宋_GB2312" w:hAnsi="仿宋_GB2312" w:eastAsia="仿宋_GB2312" w:cs="仿宋_GB2312"/>
          <w:b w:val="0"/>
          <w:bCs/>
          <w:kern w:val="0"/>
          <w:sz w:val="32"/>
          <w:szCs w:val="32"/>
          <w:lang w:val="en-US" w:eastAsia="zh-CN"/>
        </w:rPr>
        <w:t>包括资金使用方案完善和备案情况、资金使用合规</w:t>
      </w:r>
      <w:r>
        <w:rPr>
          <w:rFonts w:hint="eastAsia" w:ascii="仿宋_GB2312" w:hAnsi="仿宋_GB2312" w:eastAsia="仿宋_GB2312" w:cs="仿宋_GB2312"/>
          <w:b w:val="0"/>
          <w:bCs w:val="0"/>
          <w:color w:val="auto"/>
          <w:kern w:val="0"/>
          <w:sz w:val="32"/>
          <w:szCs w:val="32"/>
          <w:lang w:val="en-US" w:eastAsia="zh-CN"/>
        </w:rPr>
        <w:t>性、</w:t>
      </w:r>
      <w:r>
        <w:rPr>
          <w:rFonts w:hint="eastAsia" w:ascii="仿宋_GB2312" w:hAnsi="仿宋_GB2312" w:eastAsia="仿宋_GB2312" w:cs="仿宋_GB2312"/>
          <w:i w:val="0"/>
          <w:iCs w:val="0"/>
          <w:color w:val="auto"/>
          <w:kern w:val="0"/>
          <w:sz w:val="32"/>
          <w:szCs w:val="32"/>
          <w:u w:val="none"/>
          <w:lang w:val="en-US" w:eastAsia="zh-CN" w:bidi="ar"/>
        </w:rPr>
        <w:t>财政资金拨付合规性</w:t>
      </w:r>
      <w:r>
        <w:rPr>
          <w:rFonts w:hint="eastAsia" w:ascii="仿宋_GB2312" w:hAnsi="仿宋_GB2312" w:eastAsia="仿宋_GB2312" w:cs="仿宋_GB2312"/>
          <w:b w:val="0"/>
          <w:bCs w:val="0"/>
          <w:color w:val="auto"/>
          <w:kern w:val="0"/>
          <w:sz w:val="32"/>
          <w:szCs w:val="32"/>
          <w:lang w:val="en-US" w:eastAsia="zh-CN"/>
        </w:rPr>
        <w:t>、财政</w:t>
      </w:r>
      <w:r>
        <w:rPr>
          <w:rFonts w:hint="eastAsia" w:ascii="仿宋_GB2312" w:hAnsi="仿宋_GB2312" w:eastAsia="仿宋_GB2312" w:cs="仿宋_GB2312"/>
          <w:b w:val="0"/>
          <w:bCs/>
          <w:kern w:val="0"/>
          <w:sz w:val="32"/>
          <w:szCs w:val="32"/>
          <w:lang w:val="en-US" w:eastAsia="zh-CN"/>
        </w:rPr>
        <w:t>资金使用进度、撬动社会资本投入等情况</w:t>
      </w:r>
      <w:r>
        <w:rPr>
          <w:rFonts w:hint="eastAsia" w:ascii="仿宋_GB2312" w:hAnsi="仿宋_GB2312" w:eastAsia="仿宋_GB2312" w:cs="仿宋_GB2312"/>
          <w:color w:val="auto"/>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firstLine="640" w:firstLineChars="200"/>
        <w:jc w:val="both"/>
        <w:textAlignment w:val="auto"/>
        <w:rPr>
          <w:rFonts w:hint="default"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四、联农带农开展情况。</w:t>
      </w:r>
      <w:r>
        <w:rPr>
          <w:rFonts w:hint="eastAsia" w:ascii="仿宋_GB2312" w:hAnsi="仿宋_GB2312" w:eastAsia="仿宋_GB2312" w:cs="仿宋_GB2312"/>
          <w:kern w:val="0"/>
          <w:sz w:val="32"/>
          <w:szCs w:val="32"/>
          <w:lang w:val="en-US" w:eastAsia="zh-CN"/>
        </w:rPr>
        <w:t>对照备案的资金使用方案中的联农带农方案，重点阐述产业园联农带农落实进展等情况。</w:t>
      </w:r>
      <w:r>
        <w:rPr>
          <w:rFonts w:hint="eastAsia" w:ascii="仿宋_GB2312" w:hAnsi="仿宋_GB2312" w:eastAsia="仿宋_GB2312" w:cs="仿宋_GB2312"/>
          <w:kern w:val="0"/>
          <w:sz w:val="32"/>
          <w:szCs w:val="32"/>
          <w:lang w:val="en-US" w:eastAsia="zh-CN"/>
        </w:rPr>
        <w:tab/>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黑体" w:hAnsi="黑体" w:eastAsia="黑体" w:cs="黑体"/>
          <w:kern w:val="0"/>
          <w:sz w:val="32"/>
          <w:szCs w:val="32"/>
          <w:lang w:val="en-US" w:eastAsia="zh-CN"/>
        </w:rPr>
        <w:t>五、奖惩情况。</w:t>
      </w:r>
      <w:r>
        <w:rPr>
          <w:rFonts w:hint="eastAsia" w:ascii="仿宋_GB2312" w:hAnsi="仿宋_GB2312" w:eastAsia="仿宋_GB2312" w:cs="仿宋_GB2312"/>
          <w:b w:val="0"/>
          <w:bCs/>
          <w:kern w:val="0"/>
          <w:sz w:val="32"/>
          <w:szCs w:val="32"/>
          <w:lang w:val="en-US" w:eastAsia="zh-CN"/>
        </w:rPr>
        <w:t>阐述产业园获得中央及省委、省政府层面奖励表彰、高效高质完成项目建设等情况，阐述产业园项目建设是否存在违法违规，造成不良后果的情况</w:t>
      </w:r>
      <w:r>
        <w:rPr>
          <w:rFonts w:hint="eastAsia" w:ascii="仿宋_GB2312" w:hAnsi="仿宋_GB2312" w:eastAsia="仿宋_GB2312" w:cs="仿宋_GB2312"/>
          <w:b w:val="0"/>
          <w:bCs w:val="0"/>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firstLine="640" w:firstLineChars="200"/>
        <w:jc w:val="both"/>
        <w:textAlignment w:val="auto"/>
        <w:rPr>
          <w:rFonts w:hint="eastAsia" w:ascii="仿宋_GB2312" w:hAnsi="仿宋_GB2312" w:eastAsia="仿宋_GB2312" w:cs="仿宋_GB2312"/>
          <w:snapToGrid w:val="0"/>
          <w:spacing w:val="0"/>
          <w:kern w:val="0"/>
          <w:sz w:val="32"/>
          <w:szCs w:val="32"/>
          <w:lang w:val="en-US" w:eastAsia="zh-CN"/>
        </w:rPr>
      </w:pPr>
      <w:r>
        <w:rPr>
          <w:rFonts w:hint="eastAsia" w:ascii="黑体" w:hAnsi="黑体" w:eastAsia="黑体" w:cs="黑体"/>
          <w:kern w:val="0"/>
          <w:sz w:val="32"/>
          <w:szCs w:val="32"/>
          <w:lang w:val="en-US" w:eastAsia="zh-CN"/>
        </w:rPr>
        <w:t>六、产业园体现“现代”特征情况。</w:t>
      </w:r>
      <w:r>
        <w:rPr>
          <w:rFonts w:hint="eastAsia" w:ascii="仿宋_GB2312" w:hAnsi="仿宋_GB2312" w:eastAsia="仿宋_GB2312" w:cs="仿宋_GB2312"/>
          <w:snapToGrid w:val="0"/>
          <w:spacing w:val="0"/>
          <w:kern w:val="0"/>
          <w:sz w:val="32"/>
          <w:szCs w:val="32"/>
          <w:lang w:val="en-US" w:eastAsia="zh-CN"/>
        </w:rPr>
        <w:t>产业园要分类梳理，按照工业化、全产业链理念，体现“现代”特征。如粮食类产业园，“现代”特征主要体现在现代育秧中心、加工中心、烘干中心、配置无人机喷洒等先进设施设备等方面。各地要结合实际，提炼总结产业园“现代”主要特征，文字不超过500字。</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firstLine="640" w:firstLineChars="200"/>
        <w:jc w:val="both"/>
        <w:textAlignment w:val="auto"/>
        <w:rPr>
          <w:rFonts w:hint="eastAsia" w:ascii="仿宋_GB2312" w:hAnsi="仿宋_GB2312" w:eastAsia="仿宋_GB2312" w:cs="仿宋_GB2312"/>
          <w:b w:val="0"/>
          <w:bCs w:val="0"/>
          <w:spacing w:val="0"/>
          <w:kern w:val="0"/>
          <w:sz w:val="32"/>
          <w:szCs w:val="32"/>
          <w:lang w:val="en-US" w:eastAsia="zh-CN"/>
        </w:rPr>
      </w:pPr>
      <w:r>
        <w:rPr>
          <w:rFonts w:hint="eastAsia" w:ascii="黑体" w:hAnsi="黑体" w:eastAsia="黑体" w:cs="黑体"/>
          <w:kern w:val="0"/>
          <w:sz w:val="32"/>
          <w:szCs w:val="32"/>
          <w:lang w:val="en-US" w:eastAsia="zh-CN"/>
        </w:rPr>
        <w:t>七</w:t>
      </w:r>
      <w:r>
        <w:rPr>
          <w:rFonts w:hint="eastAsia" w:ascii="黑体" w:hAnsi="黑体" w:eastAsia="黑体" w:cs="黑体"/>
          <w:snapToGrid w:val="0"/>
          <w:spacing w:val="0"/>
          <w:kern w:val="0"/>
          <w:sz w:val="32"/>
          <w:szCs w:val="32"/>
          <w:lang w:val="en-US" w:eastAsia="zh-CN"/>
        </w:rPr>
        <w:t>、存在问题和下一步计划。</w:t>
      </w:r>
      <w:r>
        <w:rPr>
          <w:rFonts w:hint="eastAsia" w:ascii="仿宋_GB2312" w:hAnsi="仿宋_GB2312" w:eastAsia="仿宋_GB2312" w:cs="仿宋_GB2312"/>
          <w:snapToGrid w:val="0"/>
          <w:spacing w:val="0"/>
          <w:kern w:val="0"/>
          <w:sz w:val="32"/>
          <w:szCs w:val="32"/>
          <w:lang w:val="en-US" w:eastAsia="zh-CN"/>
        </w:rPr>
        <w:t>包括围绕产业园建设存在的问题，提出解决措施和努力方向，以及对现代农业产业园建设的意见建议。</w:t>
      </w:r>
      <w:r>
        <w:rPr>
          <w:rFonts w:hint="eastAsia" w:ascii="仿宋_GB2312" w:hAnsi="仿宋_GB2312" w:eastAsia="仿宋_GB2312" w:cs="仿宋_GB2312"/>
          <w:b w:val="0"/>
          <w:bCs w:val="0"/>
          <w:spacing w:val="0"/>
          <w:kern w:val="0"/>
          <w:sz w:val="32"/>
          <w:szCs w:val="32"/>
          <w:lang w:val="en-US" w:eastAsia="zh-CN"/>
        </w:rPr>
        <w:t>各产业园对巡视、审计、资金检查、自评等工作中发现的问题，应及时组织整改并在中期评估报告中如实反映。</w:t>
      </w:r>
    </w:p>
    <w:p>
      <w:pPr>
        <w:adjustRightInd w:val="0"/>
        <w:snapToGrid w:val="0"/>
        <w:spacing w:beforeLines="0" w:afterLines="0" w:line="590" w:lineRule="exact"/>
        <w:ind w:firstLine="640" w:firstLineChars="200"/>
        <w:jc w:val="both"/>
        <w:rPr>
          <w:rFonts w:hint="eastAsia" w:ascii="仿宋_GB2312" w:hAnsi="仿宋_GB2312" w:eastAsia="仿宋_GB2312" w:cs="仿宋_GB2312"/>
          <w:snapToGrid w:val="0"/>
          <w:kern w:val="0"/>
          <w:szCs w:val="32"/>
          <w:lang w:val="en-US" w:eastAsia="zh-CN"/>
        </w:rPr>
      </w:pPr>
      <w:r>
        <w:rPr>
          <w:rFonts w:hint="eastAsia" w:ascii="黑体" w:hAnsi="黑体" w:eastAsia="黑体" w:cs="黑体"/>
          <w:snapToGrid w:val="0"/>
          <w:spacing w:val="0"/>
          <w:kern w:val="0"/>
          <w:sz w:val="32"/>
          <w:szCs w:val="32"/>
          <w:lang w:val="en-US" w:eastAsia="zh-CN"/>
        </w:rPr>
        <w:t>八、真实性承诺说明。</w:t>
      </w:r>
      <w:r>
        <w:rPr>
          <w:rFonts w:hint="eastAsia" w:ascii="仿宋_GB2312" w:hAnsi="仿宋_GB2312" w:eastAsia="仿宋_GB2312" w:cs="仿宋_GB2312"/>
          <w:color w:val="000000"/>
          <w:kern w:val="0"/>
          <w:sz w:val="32"/>
          <w:szCs w:val="32"/>
          <w:lang w:val="en-US" w:eastAsia="zh-CN"/>
        </w:rPr>
        <w:t>根据确定的指标要求，</w:t>
      </w:r>
      <w:r>
        <w:rPr>
          <w:rFonts w:hint="eastAsia" w:ascii="仿宋_GB2312" w:hAnsi="仿宋_GB2312" w:eastAsia="仿宋_GB2312" w:cs="仿宋_GB2312"/>
          <w:color w:val="000000"/>
          <w:kern w:val="0"/>
          <w:sz w:val="32"/>
          <w:szCs w:val="32"/>
        </w:rPr>
        <w:t>逐条梳理指标完成情况</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填写</w:t>
      </w:r>
      <w:r>
        <w:rPr>
          <w:rFonts w:hint="eastAsia" w:ascii="仿宋_GB2312" w:hAnsi="仿宋_GB2312" w:eastAsia="仿宋_GB2312" w:cs="仿宋_GB2312"/>
          <w:color w:val="000000"/>
          <w:kern w:val="0"/>
          <w:sz w:val="32"/>
          <w:szCs w:val="32"/>
        </w:rPr>
        <w:t>《广东省现代农业产业园中期评估指标体系</w:t>
      </w:r>
      <w:r>
        <w:rPr>
          <w:rFonts w:hint="eastAsia" w:ascii="仿宋_GB2312" w:hAnsi="仿宋_GB2312" w:eastAsia="仿宋_GB2312" w:cs="仿宋_GB2312"/>
          <w:color w:val="000000"/>
          <w:kern w:val="0"/>
          <w:sz w:val="32"/>
          <w:szCs w:val="32"/>
          <w:lang w:val="en-US" w:eastAsia="zh-CN"/>
        </w:rPr>
        <w:t>表</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，提供相应佐证材料</w:t>
      </w:r>
      <w:r>
        <w:rPr>
          <w:rFonts w:hint="eastAsia" w:ascii="仿宋_GB2312" w:hAnsi="仿宋_GB2312" w:eastAsia="仿宋_GB2312" w:cs="仿宋_GB2312"/>
          <w:color w:val="000000"/>
          <w:kern w:val="0"/>
          <w:sz w:val="32"/>
          <w:szCs w:val="32"/>
        </w:rPr>
        <w:t>（附件2）</w:t>
      </w:r>
      <w:r>
        <w:rPr>
          <w:rFonts w:hint="eastAsia" w:ascii="仿宋_GB2312" w:hAnsi="仿宋_GB2312" w:eastAsia="仿宋_GB2312" w:cs="仿宋_GB2312"/>
          <w:color w:val="000000"/>
          <w:kern w:val="0"/>
          <w:sz w:val="32"/>
          <w:szCs w:val="32"/>
          <w:lang w:val="en-US" w:eastAsia="zh-CN"/>
        </w:rPr>
        <w:t>并作出真实性承诺说明</w:t>
      </w:r>
      <w:r>
        <w:rPr>
          <w:rFonts w:hint="eastAsia" w:ascii="仿宋_GB2312" w:hAnsi="仿宋_GB2312" w:eastAsia="仿宋_GB2312" w:cs="仿宋_GB2312"/>
          <w:color w:val="000000"/>
          <w:kern w:val="0"/>
          <w:sz w:val="32"/>
          <w:szCs w:val="32"/>
        </w:rPr>
        <w:t>。</w:t>
      </w:r>
    </w:p>
    <w:p>
      <w:pPr>
        <w:numPr>
          <w:ilvl w:val="0"/>
          <w:numId w:val="0"/>
        </w:numPr>
        <w:adjustRightInd w:val="0"/>
        <w:snapToGrid w:val="0"/>
        <w:spacing w:beforeLines="0" w:afterLines="0" w:line="590" w:lineRule="exact"/>
        <w:ind w:left="0" w:leftChars="0" w:firstLine="640" w:firstLineChars="200"/>
        <w:rPr>
          <w:rFonts w:hint="eastAsia" w:ascii="黑体" w:hAnsi="黑体" w:eastAsia="黑体" w:cs="黑体"/>
          <w:kern w:val="0"/>
          <w:sz w:val="32"/>
          <w:szCs w:val="32"/>
          <w:lang w:val="en-US" w:eastAsia="zh-CN"/>
        </w:rPr>
        <w:sectPr>
          <w:headerReference r:id="rId3" w:type="first"/>
          <w:footerReference r:id="rId4" w:type="default"/>
          <w:pgSz w:w="11906" w:h="16838"/>
          <w:pgMar w:top="1871" w:right="1531" w:bottom="1871" w:left="1531" w:header="851" w:footer="1417" w:gutter="0"/>
          <w:cols w:space="0" w:num="1"/>
          <w:titlePg/>
          <w:rtlGutter w:val="0"/>
          <w:docGrid w:type="lines" w:linePitch="595" w:charSpace="0"/>
        </w:sectPr>
      </w:pPr>
      <w:r>
        <w:rPr>
          <w:rFonts w:hint="default" w:ascii="仿宋_GB2312" w:hAnsi="仿宋_GB2312" w:eastAsia="仿宋_GB2312" w:cs="仿宋_GB2312"/>
          <w:kern w:val="0"/>
          <w:sz w:val="32"/>
          <w:szCs w:val="32"/>
          <w:lang w:val="en-US" w:eastAsia="zh-CN"/>
        </w:rPr>
        <w:br w:type="page"/>
      </w:r>
    </w:p>
    <w:p>
      <w:pPr>
        <w:adjustRightInd w:val="0"/>
        <w:snapToGrid w:val="0"/>
        <w:spacing w:beforeLines="0" w:afterLines="0" w:line="590" w:lineRule="exact"/>
        <w:ind w:left="0" w:leftChars="0" w:firstLine="0" w:firstLineChars="0"/>
        <w:rPr>
          <w:rFonts w:hint="default"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附件2</w:t>
      </w:r>
    </w:p>
    <w:p>
      <w:pPr>
        <w:adjustRightInd w:val="0"/>
        <w:snapToGrid w:val="0"/>
        <w:spacing w:beforeLines="0" w:afterLines="0" w:line="590" w:lineRule="exact"/>
        <w:ind w:firstLine="0" w:firstLineChars="0"/>
        <w:jc w:val="both"/>
        <w:rPr>
          <w:rFonts w:hint="eastAsia" w:ascii="方正小标宋简体" w:hAnsi="方正小标宋简体" w:eastAsia="方正小标宋简体" w:cs="方正小标宋简体"/>
          <w:kern w:val="0"/>
          <w:sz w:val="44"/>
          <w:szCs w:val="44"/>
          <w:lang w:val="en-US" w:eastAsia="zh-CN"/>
        </w:rPr>
      </w:pPr>
    </w:p>
    <w:p>
      <w:pPr>
        <w:adjustRightInd w:val="0"/>
        <w:snapToGrid w:val="0"/>
        <w:spacing w:beforeLines="0" w:afterLines="0" w:line="590" w:lineRule="exact"/>
        <w:ind w:firstLine="0" w:firstLineChars="0"/>
        <w:jc w:val="center"/>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广东省现代农业产业园中期评估指标体系表</w:t>
      </w:r>
    </w:p>
    <w:p>
      <w:pPr>
        <w:adjustRightInd w:val="0"/>
        <w:snapToGrid w:val="0"/>
        <w:spacing w:beforeLines="0" w:afterLines="0" w:line="590" w:lineRule="exact"/>
        <w:ind w:firstLine="720" w:firstLineChars="200"/>
        <w:jc w:val="both"/>
        <w:rPr>
          <w:rFonts w:hint="eastAsia" w:ascii="仿宋_GB2312" w:hAnsi="仿宋_GB2312" w:eastAsia="仿宋_GB2312" w:cs="仿宋_GB2312"/>
          <w:kern w:val="0"/>
          <w:sz w:val="36"/>
          <w:szCs w:val="36"/>
          <w:lang w:val="en-US" w:eastAsia="zh-CN"/>
        </w:rPr>
      </w:pPr>
    </w:p>
    <w:tbl>
      <w:tblPr>
        <w:tblStyle w:val="5"/>
        <w:tblW w:w="13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1260"/>
        <w:gridCol w:w="675"/>
        <w:gridCol w:w="4815"/>
        <w:gridCol w:w="4045"/>
        <w:gridCol w:w="720"/>
        <w:gridCol w:w="707"/>
      </w:tblGrid>
      <w:tr>
        <w:trPr>
          <w:trHeight w:val="397" w:hRule="atLeast"/>
          <w:tblHeader/>
          <w:jc w:val="center"/>
        </w:trPr>
        <w:tc>
          <w:tcPr>
            <w:tcW w:w="113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一级指标</w:t>
            </w:r>
          </w:p>
        </w:tc>
        <w:tc>
          <w:tcPr>
            <w:tcW w:w="126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二级指标</w:t>
            </w:r>
          </w:p>
        </w:tc>
        <w:tc>
          <w:tcPr>
            <w:tcW w:w="67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default" w:ascii="黑体" w:hAnsi="黑体" w:eastAsia="黑体" w:cs="黑体"/>
                <w:i w:val="0"/>
                <w:iCs w:val="0"/>
                <w:color w:val="auto"/>
                <w:kern w:val="0"/>
                <w:sz w:val="21"/>
                <w:szCs w:val="21"/>
                <w:u w:val="none"/>
                <w:lang w:val="en-US" w:eastAsia="zh-CN" w:bidi="ar"/>
              </w:rPr>
            </w:pPr>
            <w:r>
              <w:rPr>
                <w:rFonts w:hint="eastAsia" w:ascii="黑体" w:hAnsi="黑体" w:eastAsia="黑体" w:cs="黑体"/>
                <w:i w:val="0"/>
                <w:iCs w:val="0"/>
                <w:color w:val="auto"/>
                <w:kern w:val="0"/>
                <w:sz w:val="21"/>
                <w:szCs w:val="21"/>
                <w:u w:val="none"/>
                <w:lang w:val="en-US" w:eastAsia="zh-CN" w:bidi="ar"/>
              </w:rPr>
              <w:t>分值</w:t>
            </w:r>
          </w:p>
        </w:tc>
        <w:tc>
          <w:tcPr>
            <w:tcW w:w="481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黑体" w:hAnsi="黑体" w:eastAsia="黑体" w:cs="黑体"/>
                <w:i w:val="0"/>
                <w:iCs w:val="0"/>
                <w:color w:val="auto"/>
                <w:kern w:val="0"/>
                <w:sz w:val="21"/>
                <w:szCs w:val="21"/>
                <w:u w:val="none"/>
                <w:lang w:val="en-US" w:eastAsia="zh-CN" w:bidi="ar"/>
              </w:rPr>
            </w:pPr>
            <w:r>
              <w:rPr>
                <w:rFonts w:hint="eastAsia" w:ascii="黑体" w:hAnsi="黑体" w:eastAsia="黑体" w:cs="黑体"/>
                <w:i w:val="0"/>
                <w:iCs w:val="0"/>
                <w:color w:val="auto"/>
                <w:kern w:val="0"/>
                <w:sz w:val="21"/>
                <w:szCs w:val="21"/>
                <w:u w:val="none"/>
                <w:lang w:val="en-US" w:eastAsia="zh-CN" w:bidi="ar"/>
              </w:rPr>
              <w:t>评估标准</w:t>
            </w:r>
          </w:p>
        </w:tc>
        <w:tc>
          <w:tcPr>
            <w:tcW w:w="404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黑体" w:hAnsi="黑体" w:eastAsia="黑体" w:cs="黑体"/>
                <w:i w:val="0"/>
                <w:iCs w:val="0"/>
                <w:color w:val="auto"/>
                <w:sz w:val="21"/>
                <w:szCs w:val="21"/>
                <w:u w:val="none"/>
                <w:lang w:val="en-US"/>
              </w:rPr>
            </w:pPr>
            <w:r>
              <w:rPr>
                <w:rFonts w:hint="eastAsia" w:ascii="黑体" w:hAnsi="黑体" w:eastAsia="黑体" w:cs="黑体"/>
                <w:i w:val="0"/>
                <w:iCs w:val="0"/>
                <w:color w:val="auto"/>
                <w:kern w:val="0"/>
                <w:sz w:val="21"/>
                <w:szCs w:val="21"/>
                <w:u w:val="none"/>
                <w:lang w:val="en-US" w:eastAsia="zh-CN" w:bidi="ar"/>
              </w:rPr>
              <w:t>指标说明</w:t>
            </w:r>
          </w:p>
        </w:tc>
        <w:tc>
          <w:tcPr>
            <w:tcW w:w="72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default" w:ascii="黑体" w:hAnsi="黑体" w:eastAsia="黑体" w:cs="黑体"/>
                <w:i w:val="0"/>
                <w:iCs w:val="0"/>
                <w:color w:val="auto"/>
                <w:kern w:val="0"/>
                <w:sz w:val="21"/>
                <w:szCs w:val="21"/>
                <w:u w:val="none"/>
                <w:lang w:val="en-US" w:eastAsia="zh-CN" w:bidi="ar"/>
              </w:rPr>
            </w:pPr>
            <w:r>
              <w:rPr>
                <w:rFonts w:hint="eastAsia" w:ascii="黑体" w:hAnsi="黑体" w:eastAsia="黑体" w:cs="黑体"/>
                <w:i w:val="0"/>
                <w:iCs w:val="0"/>
                <w:color w:val="auto"/>
                <w:kern w:val="0"/>
                <w:sz w:val="21"/>
                <w:szCs w:val="21"/>
                <w:u w:val="none"/>
                <w:lang w:val="en-US" w:eastAsia="zh-CN" w:bidi="ar"/>
              </w:rPr>
              <w:t>自评得分</w:t>
            </w:r>
          </w:p>
        </w:tc>
        <w:tc>
          <w:tcPr>
            <w:tcW w:w="70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default" w:ascii="黑体" w:hAnsi="黑体" w:eastAsia="黑体" w:cs="黑体"/>
                <w:i w:val="0"/>
                <w:iCs w:val="0"/>
                <w:color w:val="auto"/>
                <w:kern w:val="0"/>
                <w:sz w:val="21"/>
                <w:szCs w:val="21"/>
                <w:u w:val="none"/>
                <w:lang w:val="en-US" w:eastAsia="zh-CN" w:bidi="ar"/>
              </w:rPr>
            </w:pPr>
            <w:r>
              <w:rPr>
                <w:rFonts w:hint="eastAsia" w:ascii="黑体" w:hAnsi="黑体" w:eastAsia="黑体" w:cs="黑体"/>
                <w:i w:val="0"/>
                <w:iCs w:val="0"/>
                <w:color w:val="auto"/>
                <w:kern w:val="0"/>
                <w:sz w:val="21"/>
                <w:szCs w:val="21"/>
                <w:u w:val="none"/>
                <w:lang w:val="en-US" w:eastAsia="zh-CN" w:bidi="ar"/>
              </w:rPr>
              <w:t>评分依据</w:t>
            </w:r>
          </w:p>
        </w:tc>
      </w:tr>
      <w:tr>
        <w:trPr>
          <w:trHeight w:val="2681" w:hRule="atLeast"/>
          <w:jc w:val="center"/>
        </w:trPr>
        <w:tc>
          <w:tcPr>
            <w:tcW w:w="1130" w:type="dxa"/>
            <w:vMerge w:val="restart"/>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ind w:leftChars="0"/>
              <w:jc w:val="center"/>
              <w:textAlignment w:val="auto"/>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组织管</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ind w:leftChars="0"/>
              <w:jc w:val="center"/>
              <w:textAlignment w:val="auto"/>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理情况</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ind w:leftChars="0"/>
              <w:jc w:val="center"/>
              <w:textAlignment w:val="auto"/>
              <w:rPr>
                <w:rFonts w:hint="default"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（10分）</w:t>
            </w:r>
          </w:p>
        </w:tc>
        <w:tc>
          <w:tcPr>
            <w:tcW w:w="126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产业园管理工作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情况</w:t>
            </w:r>
          </w:p>
        </w:tc>
        <w:tc>
          <w:tcPr>
            <w:tcW w:w="67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5</w:t>
            </w:r>
          </w:p>
        </w:tc>
        <w:tc>
          <w:tcPr>
            <w:tcW w:w="481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both"/>
              <w:textAlignment w:val="center"/>
              <w:rPr>
                <w:rFonts w:hint="default" w:ascii="仿宋_GB2312" w:hAnsi="仿宋_GB2312" w:eastAsia="仿宋_GB2312" w:cs="仿宋_GB2312"/>
                <w:color w:val="auto"/>
                <w:kern w:val="0"/>
                <w:sz w:val="21"/>
                <w:szCs w:val="21"/>
                <w:u w:val="none"/>
                <w:lang w:val="en-US" w:eastAsia="zh-CN" w:bidi="ar"/>
              </w:rPr>
            </w:pPr>
            <w:r>
              <w:rPr>
                <w:rFonts w:hint="eastAsia" w:ascii="仿宋_GB2312" w:hAnsi="仿宋_GB2312" w:eastAsia="仿宋_GB2312" w:cs="仿宋_GB2312"/>
                <w:color w:val="auto"/>
                <w:kern w:val="0"/>
                <w:sz w:val="21"/>
                <w:szCs w:val="21"/>
                <w:u w:val="none"/>
                <w:lang w:val="en-US" w:eastAsia="zh-CN" w:bidi="ar"/>
              </w:rPr>
              <w:t>①产业园责任主体落实了产业园政策措施，建立了协调机制并发挥作用，配合好省农业农村厅日常监督和管理工作，得5分。</w:t>
            </w:r>
          </w:p>
          <w:p>
            <w:pPr>
              <w:keepNext w:val="0"/>
              <w:keepLines w:val="0"/>
              <w:adjustRightInd w:val="0"/>
              <w:snapToGrid w:val="0"/>
              <w:spacing w:beforeLines="0" w:afterLines="0" w:line="240" w:lineRule="auto"/>
              <w:textAlignment w:val="center"/>
              <w:rPr>
                <w:rFonts w:hint="eastAsia"/>
                <w:sz w:val="21"/>
                <w:szCs w:val="21"/>
                <w:lang w:val="en-US" w:eastAsia="zh-CN"/>
              </w:rPr>
            </w:pPr>
            <w:r>
              <w:rPr>
                <w:rFonts w:hint="eastAsia" w:ascii="仿宋_GB2312" w:hAnsi="仿宋_GB2312" w:eastAsia="仿宋_GB2312" w:cs="仿宋_GB2312"/>
                <w:color w:val="auto"/>
                <w:kern w:val="0"/>
                <w:sz w:val="21"/>
                <w:szCs w:val="21"/>
                <w:u w:val="none"/>
                <w:lang w:val="en-US" w:eastAsia="zh-CN" w:bidi="ar"/>
              </w:rPr>
              <w:t>②产业园责任主体在产业园政策措施落实、建立协调机制并发挥作用、配合省农业农村厅日常监督和管理工作上不到位的，酌情扣分。</w:t>
            </w:r>
          </w:p>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both"/>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color w:val="auto"/>
                <w:kern w:val="0"/>
                <w:sz w:val="21"/>
                <w:szCs w:val="21"/>
                <w:u w:val="none"/>
                <w:lang w:val="en-US" w:eastAsia="zh-CN" w:bidi="ar"/>
              </w:rPr>
              <w:t>③产业园责任主体未落实产业园政策措施、未建立产业园协调机制、不配合省农业农村厅日常监督和管理工作，存在以上情况之一的，均不得分。</w:t>
            </w:r>
          </w:p>
        </w:tc>
        <w:tc>
          <w:tcPr>
            <w:tcW w:w="4045" w:type="dxa"/>
            <w:noWrap w:val="0"/>
            <w:vAlign w:val="center"/>
          </w:tcPr>
          <w:p>
            <w:pPr>
              <w:widowControl w:val="0"/>
              <w:adjustRightInd w:val="0"/>
              <w:snapToGrid w:val="0"/>
              <w:spacing w:beforeLines="0" w:afterLines="0" w:line="240" w:lineRule="auto"/>
              <w:jc w:val="both"/>
              <w:textAlignment w:val="center"/>
              <w:rPr>
                <w:rFonts w:hint="eastAsia" w:ascii="仿宋_GB2312" w:hAnsi="仿宋_GB2312" w:eastAsia="仿宋_GB2312" w:cs="仿宋_GB2312"/>
                <w:color w:val="auto"/>
                <w:kern w:val="0"/>
                <w:sz w:val="21"/>
                <w:szCs w:val="21"/>
                <w:u w:val="none"/>
                <w:lang w:val="en-US" w:eastAsia="zh-CN" w:bidi="ar"/>
              </w:rPr>
            </w:pPr>
            <w:r>
              <w:rPr>
                <w:rFonts w:hint="eastAsia" w:ascii="仿宋_GB2312" w:hAnsi="仿宋_GB2312" w:eastAsia="仿宋_GB2312" w:cs="仿宋_GB2312"/>
                <w:color w:val="auto"/>
                <w:kern w:val="0"/>
                <w:sz w:val="21"/>
                <w:szCs w:val="21"/>
                <w:u w:val="none"/>
                <w:lang w:val="en-US" w:eastAsia="zh-CN" w:bidi="ar"/>
              </w:rPr>
              <w:t>反映产业园责任主体对于产业园的重视程度、政策措施落实情况以及对省农业农村厅日常监管的配合程度。</w:t>
            </w:r>
          </w:p>
        </w:tc>
        <w:tc>
          <w:tcPr>
            <w:tcW w:w="720"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both"/>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70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default" w:ascii="仿宋_GB2312" w:hAnsi="仿宋_GB2312" w:eastAsia="仿宋_GB2312" w:cs="仿宋_GB2312"/>
                <w:color w:val="auto"/>
                <w:kern w:val="0"/>
                <w:sz w:val="21"/>
                <w:szCs w:val="21"/>
                <w:u w:val="none"/>
                <w:lang w:val="en-US" w:eastAsia="zh-CN" w:bidi="ar"/>
              </w:rPr>
            </w:pPr>
          </w:p>
        </w:tc>
      </w:tr>
      <w:tr>
        <w:trPr>
          <w:trHeight w:val="368" w:hRule="atLeast"/>
          <w:jc w:val="center"/>
        </w:trPr>
        <w:tc>
          <w:tcPr>
            <w:tcW w:w="1130" w:type="dxa"/>
            <w:vMerge w:val="continue"/>
            <w:tcBorders>
              <w:bottom w:val="single" w:color="auto" w:sz="4" w:space="0"/>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ind w:leftChars="0"/>
              <w:jc w:val="center"/>
              <w:textAlignment w:val="auto"/>
              <w:rPr>
                <w:rFonts w:hint="eastAsia" w:ascii="仿宋_GB2312" w:hAnsi="仿宋_GB2312" w:eastAsia="仿宋_GB2312" w:cs="仿宋_GB2312"/>
                <w:i w:val="0"/>
                <w:iCs w:val="0"/>
                <w:color w:val="auto"/>
                <w:kern w:val="0"/>
                <w:sz w:val="21"/>
                <w:szCs w:val="21"/>
                <w:u w:val="none"/>
                <w:lang w:val="en-US" w:eastAsia="zh-CN" w:bidi="ar"/>
              </w:rPr>
            </w:pPr>
          </w:p>
        </w:tc>
        <w:tc>
          <w:tcPr>
            <w:tcW w:w="126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实施主体资格审核管理情况</w:t>
            </w:r>
          </w:p>
        </w:tc>
        <w:tc>
          <w:tcPr>
            <w:tcW w:w="67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5</w:t>
            </w:r>
          </w:p>
        </w:tc>
        <w:tc>
          <w:tcPr>
            <w:tcW w:w="481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both"/>
              <w:textAlignment w:val="center"/>
              <w:rPr>
                <w:rFonts w:hint="eastAsia" w:ascii="仿宋_GB2312" w:hAnsi="仿宋_GB2312" w:eastAsia="仿宋_GB2312" w:cs="仿宋_GB2312"/>
                <w:color w:val="auto"/>
                <w:kern w:val="0"/>
                <w:sz w:val="21"/>
                <w:szCs w:val="21"/>
                <w:u w:val="none"/>
                <w:lang w:val="en-US" w:eastAsia="zh-CN" w:bidi="ar"/>
              </w:rPr>
            </w:pPr>
            <w:r>
              <w:rPr>
                <w:rFonts w:hint="eastAsia" w:ascii="仿宋_GB2312" w:hAnsi="仿宋_GB2312" w:eastAsia="仿宋_GB2312" w:cs="仿宋_GB2312"/>
                <w:color w:val="auto"/>
                <w:kern w:val="0"/>
                <w:sz w:val="21"/>
                <w:szCs w:val="21"/>
                <w:u w:val="none"/>
                <w:lang w:val="en-US" w:eastAsia="zh-CN" w:bidi="ar"/>
              </w:rPr>
              <w:t>①产业园责任主体建立了实施主体遴选制度，落实了对实施主体资格的审核把关，产业园各实施主体均符合相关资格条件，得5分。</w:t>
            </w:r>
          </w:p>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both"/>
              <w:textAlignment w:val="center"/>
              <w:rPr>
                <w:rFonts w:hint="default" w:ascii="仿宋_GB2312" w:hAnsi="仿宋_GB2312" w:eastAsia="仿宋_GB2312" w:cs="仿宋_GB2312"/>
                <w:color w:val="auto"/>
                <w:kern w:val="0"/>
                <w:sz w:val="21"/>
                <w:szCs w:val="21"/>
                <w:u w:val="none"/>
                <w:lang w:val="en-US" w:eastAsia="zh-CN" w:bidi="ar"/>
              </w:rPr>
            </w:pPr>
            <w:r>
              <w:rPr>
                <w:rFonts w:hint="eastAsia" w:ascii="仿宋_GB2312" w:hAnsi="仿宋_GB2312" w:eastAsia="仿宋_GB2312" w:cs="仿宋_GB2312"/>
                <w:color w:val="auto"/>
                <w:kern w:val="0"/>
                <w:sz w:val="21"/>
                <w:szCs w:val="21"/>
                <w:u w:val="none"/>
                <w:lang w:val="en-US" w:eastAsia="zh-CN" w:bidi="ar"/>
              </w:rPr>
              <w:t>②产业园责任主体建立了实施主体遴选制度，但未落实对实施主体资格的审核把关，导致个别实施主体</w:t>
            </w:r>
            <w:r>
              <w:rPr>
                <w:rFonts w:hint="eastAsia" w:ascii="仿宋_GB2312" w:hAnsi="仿宋_GB2312" w:eastAsia="仿宋_GB2312" w:cs="仿宋_GB2312"/>
                <w:color w:val="auto"/>
                <w:kern w:val="0"/>
                <w:sz w:val="21"/>
                <w:szCs w:val="21"/>
                <w:lang w:bidi="ar"/>
              </w:rPr>
              <w:t>存在空壳运行、</w:t>
            </w:r>
            <w:r>
              <w:rPr>
                <w:rFonts w:hint="eastAsia" w:ascii="仿宋_GB2312" w:hAnsi="仿宋_GB2312" w:eastAsia="仿宋_GB2312" w:cs="仿宋_GB2312"/>
                <w:color w:val="auto"/>
                <w:kern w:val="0"/>
                <w:sz w:val="21"/>
                <w:szCs w:val="21"/>
                <w:lang w:eastAsia="zh-CN" w:bidi="ar"/>
              </w:rPr>
              <w:t>无法正常经营、</w:t>
            </w:r>
            <w:r>
              <w:rPr>
                <w:rFonts w:hint="eastAsia" w:ascii="仿宋_GB2312" w:hAnsi="仿宋_GB2312" w:eastAsia="仿宋_GB2312" w:cs="仿宋_GB2312"/>
                <w:color w:val="auto"/>
                <w:kern w:val="0"/>
                <w:sz w:val="21"/>
                <w:szCs w:val="21"/>
                <w:lang w:bidi="ar"/>
              </w:rPr>
              <w:t>套取财政资金</w:t>
            </w:r>
            <w:r>
              <w:rPr>
                <w:rFonts w:hint="eastAsia" w:ascii="仿宋_GB2312" w:hAnsi="仿宋_GB2312" w:eastAsia="仿宋_GB2312" w:cs="仿宋_GB2312"/>
                <w:color w:val="auto"/>
                <w:kern w:val="0"/>
                <w:sz w:val="21"/>
                <w:szCs w:val="21"/>
                <w:lang w:eastAsia="zh-CN" w:bidi="ar"/>
              </w:rPr>
              <w:t>或其他</w:t>
            </w:r>
            <w:r>
              <w:rPr>
                <w:rFonts w:hint="eastAsia" w:ascii="仿宋_GB2312" w:hAnsi="仿宋_GB2312" w:eastAsia="仿宋_GB2312" w:cs="仿宋_GB2312"/>
                <w:color w:val="auto"/>
                <w:kern w:val="0"/>
                <w:sz w:val="21"/>
                <w:szCs w:val="21"/>
                <w:lang w:bidi="ar"/>
              </w:rPr>
              <w:t>违法情况</w:t>
            </w:r>
            <w:r>
              <w:rPr>
                <w:rFonts w:hint="eastAsia" w:ascii="仿宋_GB2312" w:hAnsi="仿宋_GB2312" w:eastAsia="仿宋_GB2312" w:cs="仿宋_GB2312"/>
                <w:color w:val="auto"/>
                <w:kern w:val="0"/>
                <w:sz w:val="21"/>
                <w:szCs w:val="21"/>
                <w:lang w:eastAsia="zh-CN" w:bidi="ar"/>
              </w:rPr>
              <w:t>的，每发现一个企业扣</w:t>
            </w:r>
            <w:r>
              <w:rPr>
                <w:rFonts w:hint="eastAsia" w:ascii="仿宋_GB2312" w:hAnsi="仿宋_GB2312" w:eastAsia="仿宋_GB2312" w:cs="仿宋_GB2312"/>
                <w:color w:val="auto"/>
                <w:kern w:val="0"/>
                <w:sz w:val="21"/>
                <w:szCs w:val="21"/>
                <w:lang w:val="en-US" w:eastAsia="zh-CN" w:bidi="ar"/>
              </w:rPr>
              <w:t>2分，扣完为止。</w:t>
            </w:r>
          </w:p>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both"/>
              <w:textAlignment w:val="center"/>
              <w:rPr>
                <w:rFonts w:hint="default" w:ascii="仿宋_GB2312" w:hAnsi="仿宋_GB2312" w:eastAsia="仿宋_GB2312" w:cs="仿宋_GB2312"/>
                <w:color w:val="auto"/>
                <w:kern w:val="0"/>
                <w:sz w:val="21"/>
                <w:szCs w:val="21"/>
                <w:u w:val="none"/>
                <w:lang w:val="en-US" w:eastAsia="zh-CN" w:bidi="ar"/>
              </w:rPr>
            </w:pPr>
            <w:r>
              <w:rPr>
                <w:rFonts w:hint="eastAsia" w:ascii="仿宋_GB2312" w:hAnsi="仿宋_GB2312" w:eastAsia="仿宋_GB2312" w:cs="仿宋_GB2312"/>
                <w:b w:val="0"/>
                <w:bCs w:val="0"/>
                <w:i w:val="0"/>
                <w:iCs w:val="0"/>
                <w:color w:val="auto"/>
                <w:kern w:val="0"/>
                <w:sz w:val="21"/>
                <w:szCs w:val="21"/>
                <w:u w:val="none"/>
                <w:lang w:val="en-US" w:eastAsia="zh-CN" w:bidi="ar"/>
              </w:rPr>
              <w:t>③</w:t>
            </w:r>
            <w:r>
              <w:rPr>
                <w:rFonts w:hint="eastAsia" w:ascii="仿宋_GB2312" w:hAnsi="仿宋_GB2312" w:eastAsia="仿宋_GB2312" w:cs="仿宋_GB2312"/>
                <w:color w:val="auto"/>
                <w:kern w:val="0"/>
                <w:sz w:val="21"/>
                <w:szCs w:val="21"/>
                <w:u w:val="none"/>
                <w:lang w:val="en-US" w:eastAsia="zh-CN" w:bidi="ar"/>
              </w:rPr>
              <w:t>产业园责任主体未建立实施主体遴选制度不得分。</w:t>
            </w:r>
          </w:p>
        </w:tc>
        <w:tc>
          <w:tcPr>
            <w:tcW w:w="4045" w:type="dxa"/>
            <w:noWrap w:val="0"/>
            <w:vAlign w:val="center"/>
          </w:tcPr>
          <w:p>
            <w:pPr>
              <w:widowControl w:val="0"/>
              <w:adjustRightInd w:val="0"/>
              <w:snapToGrid w:val="0"/>
              <w:spacing w:beforeLines="0" w:afterLines="0" w:line="240" w:lineRule="auto"/>
              <w:jc w:val="both"/>
              <w:textAlignment w:val="center"/>
              <w:rPr>
                <w:rFonts w:hint="default" w:ascii="仿宋_GB2312" w:hAnsi="仿宋_GB2312" w:eastAsia="仿宋_GB2312" w:cs="仿宋_GB2312"/>
                <w:color w:val="auto"/>
                <w:kern w:val="0"/>
                <w:sz w:val="21"/>
                <w:szCs w:val="21"/>
                <w:u w:val="none"/>
                <w:lang w:val="en-US" w:eastAsia="zh-CN" w:bidi="ar"/>
              </w:rPr>
            </w:pPr>
            <w:r>
              <w:rPr>
                <w:rFonts w:hint="eastAsia" w:ascii="仿宋_GB2312" w:hAnsi="仿宋_GB2312" w:eastAsia="仿宋_GB2312" w:cs="仿宋_GB2312"/>
                <w:color w:val="auto"/>
                <w:kern w:val="0"/>
                <w:sz w:val="21"/>
                <w:szCs w:val="21"/>
                <w:u w:val="none"/>
                <w:lang w:val="en-US" w:eastAsia="zh-CN" w:bidi="ar"/>
              </w:rPr>
              <w:t>反映产业园责任主体对于实施主体的遴选是否科学合理，产业园实施主体是否符合资格且运营正常。</w:t>
            </w:r>
          </w:p>
        </w:tc>
        <w:tc>
          <w:tcPr>
            <w:tcW w:w="720"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both"/>
              <w:textAlignment w:val="center"/>
              <w:rPr>
                <w:rFonts w:hint="default" w:ascii="仿宋_GB2312" w:hAnsi="仿宋_GB2312" w:eastAsia="仿宋_GB2312" w:cs="仿宋_GB2312"/>
                <w:color w:val="auto"/>
                <w:kern w:val="0"/>
                <w:sz w:val="21"/>
                <w:szCs w:val="21"/>
                <w:lang w:val="en-US" w:eastAsia="zh-CN" w:bidi="ar"/>
              </w:rPr>
            </w:pPr>
          </w:p>
        </w:tc>
        <w:tc>
          <w:tcPr>
            <w:tcW w:w="70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default" w:ascii="仿宋_GB2312" w:hAnsi="仿宋_GB2312" w:eastAsia="仿宋_GB2312" w:cs="仿宋_GB2312"/>
                <w:color w:val="auto"/>
                <w:kern w:val="0"/>
                <w:sz w:val="21"/>
                <w:szCs w:val="21"/>
                <w:u w:val="none"/>
                <w:lang w:val="en-US" w:eastAsia="zh-CN" w:bidi="ar"/>
              </w:rPr>
            </w:pPr>
          </w:p>
        </w:tc>
      </w:tr>
      <w:tr>
        <w:trPr>
          <w:trHeight w:val="7341" w:hRule="atLeast"/>
          <w:jc w:val="center"/>
        </w:trPr>
        <w:tc>
          <w:tcPr>
            <w:tcW w:w="1130" w:type="dxa"/>
            <w:vMerge w:val="restart"/>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both"/>
              <w:textAlignment w:val="center"/>
              <w:rPr>
                <w:rFonts w:hint="eastAsia" w:ascii="仿宋_GB2312" w:hAnsi="仿宋_GB2312" w:eastAsia="仿宋_GB2312" w:cs="仿宋_GB2312"/>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color w:val="auto"/>
                <w:kern w:val="0"/>
                <w:sz w:val="21"/>
                <w:szCs w:val="21"/>
                <w:u w:val="none"/>
                <w:lang w:val="en-US" w:eastAsia="zh-CN" w:bidi="ar"/>
              </w:rPr>
            </w:pPr>
            <w:r>
              <w:rPr>
                <w:rFonts w:hint="eastAsia" w:ascii="仿宋_GB2312" w:hAnsi="仿宋_GB2312" w:eastAsia="仿宋_GB2312" w:cs="仿宋_GB2312"/>
                <w:color w:val="auto"/>
                <w:kern w:val="0"/>
                <w:sz w:val="21"/>
                <w:szCs w:val="21"/>
                <w:u w:val="none"/>
                <w:lang w:val="en-US" w:eastAsia="zh-CN" w:bidi="ar"/>
              </w:rPr>
              <w:t>项目实</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color w:val="auto"/>
                <w:kern w:val="0"/>
                <w:sz w:val="21"/>
                <w:szCs w:val="21"/>
                <w:u w:val="none"/>
                <w:lang w:val="en-US" w:eastAsia="zh-CN" w:bidi="ar"/>
              </w:rPr>
            </w:pPr>
            <w:r>
              <w:rPr>
                <w:rFonts w:hint="eastAsia" w:ascii="仿宋_GB2312" w:hAnsi="仿宋_GB2312" w:eastAsia="仿宋_GB2312" w:cs="仿宋_GB2312"/>
                <w:color w:val="auto"/>
                <w:kern w:val="0"/>
                <w:sz w:val="21"/>
                <w:szCs w:val="21"/>
                <w:u w:val="none"/>
                <w:lang w:val="en-US" w:eastAsia="zh-CN" w:bidi="ar"/>
              </w:rPr>
              <w:t>施情况</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color w:val="auto"/>
                <w:kern w:val="0"/>
                <w:sz w:val="21"/>
                <w:szCs w:val="21"/>
                <w:u w:val="none"/>
                <w:lang w:val="en-US" w:eastAsia="zh-CN" w:bidi="ar"/>
              </w:rPr>
            </w:pPr>
            <w:r>
              <w:rPr>
                <w:rFonts w:hint="eastAsia" w:ascii="仿宋_GB2312" w:hAnsi="仿宋_GB2312" w:eastAsia="仿宋_GB2312" w:cs="仿宋_GB2312"/>
                <w:color w:val="auto"/>
                <w:kern w:val="0"/>
                <w:sz w:val="21"/>
                <w:szCs w:val="21"/>
                <w:u w:val="none"/>
                <w:lang w:val="en-US" w:eastAsia="zh-CN" w:bidi="ar"/>
              </w:rPr>
              <w:t>（45分）</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color w:val="auto"/>
                <w:kern w:val="0"/>
                <w:sz w:val="21"/>
                <w:szCs w:val="21"/>
                <w:u w:val="none"/>
                <w:lang w:val="en-US" w:eastAsia="zh-CN" w:bidi="ar"/>
              </w:rPr>
            </w:pPr>
            <w:r>
              <w:rPr>
                <w:rFonts w:hint="eastAsia" w:ascii="仿宋_GB2312" w:hAnsi="仿宋_GB2312" w:eastAsia="仿宋_GB2312" w:cs="仿宋_GB2312"/>
                <w:color w:val="auto"/>
                <w:kern w:val="0"/>
                <w:sz w:val="21"/>
                <w:szCs w:val="21"/>
                <w:u w:val="none"/>
                <w:lang w:val="en-US" w:eastAsia="zh-CN" w:bidi="ar"/>
              </w:rPr>
              <w:t>项目实</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color w:val="auto"/>
                <w:kern w:val="0"/>
                <w:sz w:val="21"/>
                <w:szCs w:val="21"/>
                <w:u w:val="none"/>
                <w:lang w:val="en-US" w:eastAsia="zh-CN" w:bidi="ar"/>
              </w:rPr>
            </w:pPr>
            <w:r>
              <w:rPr>
                <w:rFonts w:hint="eastAsia" w:ascii="仿宋_GB2312" w:hAnsi="仿宋_GB2312" w:eastAsia="仿宋_GB2312" w:cs="仿宋_GB2312"/>
                <w:color w:val="auto"/>
                <w:kern w:val="0"/>
                <w:sz w:val="21"/>
                <w:szCs w:val="21"/>
                <w:u w:val="none"/>
                <w:lang w:val="en-US" w:eastAsia="zh-CN" w:bidi="ar"/>
              </w:rPr>
              <w:t>施情况</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color w:val="auto"/>
                <w:kern w:val="0"/>
                <w:sz w:val="21"/>
                <w:szCs w:val="21"/>
                <w:u w:val="none"/>
                <w:lang w:val="en-US" w:eastAsia="zh-CN" w:bidi="ar"/>
              </w:rPr>
            </w:pPr>
            <w:r>
              <w:rPr>
                <w:rFonts w:hint="eastAsia" w:ascii="仿宋_GB2312" w:hAnsi="仿宋_GB2312" w:eastAsia="仿宋_GB2312" w:cs="仿宋_GB2312"/>
                <w:color w:val="auto"/>
                <w:kern w:val="0"/>
                <w:sz w:val="21"/>
                <w:szCs w:val="21"/>
                <w:u w:val="none"/>
                <w:lang w:val="en-US" w:eastAsia="zh-CN" w:bidi="ar"/>
              </w:rPr>
              <w:t>（45分）</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color w:val="auto"/>
                <w:kern w:val="0"/>
                <w:sz w:val="21"/>
                <w:szCs w:val="21"/>
                <w:u w:val="none"/>
                <w:lang w:val="en-US" w:eastAsia="zh-CN" w:bidi="ar"/>
              </w:rPr>
            </w:pPr>
            <w:r>
              <w:rPr>
                <w:rFonts w:hint="eastAsia" w:ascii="仿宋_GB2312" w:hAnsi="仿宋_GB2312" w:eastAsia="仿宋_GB2312" w:cs="仿宋_GB2312"/>
                <w:color w:val="auto"/>
                <w:kern w:val="0"/>
                <w:sz w:val="21"/>
                <w:szCs w:val="21"/>
                <w:u w:val="none"/>
                <w:lang w:val="en-US" w:eastAsia="zh-CN" w:bidi="ar"/>
              </w:rPr>
              <w:t>项目实</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color w:val="auto"/>
                <w:kern w:val="0"/>
                <w:sz w:val="21"/>
                <w:szCs w:val="21"/>
                <w:u w:val="none"/>
                <w:lang w:val="en-US" w:eastAsia="zh-CN" w:bidi="ar"/>
              </w:rPr>
            </w:pPr>
            <w:r>
              <w:rPr>
                <w:rFonts w:hint="eastAsia" w:ascii="仿宋_GB2312" w:hAnsi="仿宋_GB2312" w:eastAsia="仿宋_GB2312" w:cs="仿宋_GB2312"/>
                <w:color w:val="auto"/>
                <w:kern w:val="0"/>
                <w:sz w:val="21"/>
                <w:szCs w:val="21"/>
                <w:u w:val="none"/>
                <w:lang w:val="en-US" w:eastAsia="zh-CN" w:bidi="ar"/>
              </w:rPr>
              <w:t>施情况</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color w:val="auto"/>
                <w:kern w:val="0"/>
                <w:sz w:val="21"/>
                <w:szCs w:val="21"/>
                <w:u w:val="none"/>
                <w:lang w:val="en-US" w:eastAsia="zh-CN" w:bidi="ar"/>
              </w:rPr>
            </w:pPr>
            <w:r>
              <w:rPr>
                <w:rFonts w:hint="eastAsia" w:ascii="仿宋_GB2312" w:hAnsi="仿宋_GB2312" w:eastAsia="仿宋_GB2312" w:cs="仿宋_GB2312"/>
                <w:color w:val="auto"/>
                <w:kern w:val="0"/>
                <w:sz w:val="21"/>
                <w:szCs w:val="21"/>
                <w:u w:val="none"/>
                <w:lang w:val="en-US" w:eastAsia="zh-CN" w:bidi="ar"/>
              </w:rPr>
              <w:t>（45分）</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color w:val="auto"/>
                <w:kern w:val="0"/>
                <w:sz w:val="21"/>
                <w:szCs w:val="21"/>
                <w:u w:val="none"/>
                <w:lang w:val="en-US" w:eastAsia="zh-CN" w:bidi="ar"/>
              </w:rPr>
            </w:pPr>
            <w:r>
              <w:rPr>
                <w:rFonts w:hint="eastAsia" w:ascii="仿宋_GB2312" w:hAnsi="仿宋_GB2312" w:eastAsia="仿宋_GB2312" w:cs="仿宋_GB2312"/>
                <w:color w:val="auto"/>
                <w:kern w:val="0"/>
                <w:sz w:val="21"/>
                <w:szCs w:val="21"/>
                <w:u w:val="none"/>
                <w:lang w:val="en-US" w:eastAsia="zh-CN" w:bidi="ar"/>
              </w:rPr>
              <w:t>项目实</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color w:val="auto"/>
                <w:kern w:val="0"/>
                <w:sz w:val="21"/>
                <w:szCs w:val="21"/>
                <w:u w:val="none"/>
                <w:lang w:val="en-US" w:eastAsia="zh-CN" w:bidi="ar"/>
              </w:rPr>
            </w:pPr>
            <w:r>
              <w:rPr>
                <w:rFonts w:hint="eastAsia" w:ascii="仿宋_GB2312" w:hAnsi="仿宋_GB2312" w:eastAsia="仿宋_GB2312" w:cs="仿宋_GB2312"/>
                <w:color w:val="auto"/>
                <w:kern w:val="0"/>
                <w:sz w:val="21"/>
                <w:szCs w:val="21"/>
                <w:u w:val="none"/>
                <w:lang w:val="en-US" w:eastAsia="zh-CN" w:bidi="ar"/>
              </w:rPr>
              <w:t>施情况</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color w:val="auto"/>
                <w:kern w:val="0"/>
                <w:sz w:val="21"/>
                <w:szCs w:val="21"/>
                <w:u w:val="none"/>
                <w:lang w:val="en-US" w:eastAsia="zh-CN" w:bidi="ar"/>
              </w:rPr>
            </w:pPr>
            <w:r>
              <w:rPr>
                <w:rFonts w:hint="eastAsia" w:ascii="仿宋_GB2312" w:hAnsi="仿宋_GB2312" w:eastAsia="仿宋_GB2312" w:cs="仿宋_GB2312"/>
                <w:color w:val="auto"/>
                <w:kern w:val="0"/>
                <w:sz w:val="21"/>
                <w:szCs w:val="21"/>
                <w:u w:val="none"/>
                <w:lang w:val="en-US" w:eastAsia="zh-CN" w:bidi="ar"/>
              </w:rPr>
              <w:t>（45分）</w:t>
            </w:r>
          </w:p>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126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主导产业</w:t>
            </w:r>
          </w:p>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现有规模</w:t>
            </w:r>
          </w:p>
        </w:tc>
        <w:tc>
          <w:tcPr>
            <w:tcW w:w="67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5</w:t>
            </w:r>
          </w:p>
        </w:tc>
        <w:tc>
          <w:tcPr>
            <w:tcW w:w="481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①跨县集群产业园和特色产业园主导产业规模达到要求的，得5分；未达到要求的不得分且中期评估评定为“暂不通过”。</w:t>
            </w:r>
          </w:p>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②粮食、天然橡胶以及特色鲜明的产业园，创建后主导产业规模增加的，得5分；未达到要求的不得分且中期评估评定为“暂不通过”。</w:t>
            </w:r>
          </w:p>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both"/>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r>
              <w:rPr>
                <w:rFonts w:hint="eastAsia" w:ascii="仿宋_GB2312" w:hAnsi="仿宋_GB2312" w:eastAsia="仿宋_GB2312" w:cs="仿宋_GB2312"/>
                <w:b w:val="0"/>
                <w:bCs w:val="0"/>
                <w:i w:val="0"/>
                <w:iCs w:val="0"/>
                <w:color w:val="auto"/>
                <w:kern w:val="0"/>
                <w:sz w:val="21"/>
                <w:szCs w:val="21"/>
                <w:u w:val="none"/>
                <w:lang w:val="en-US" w:eastAsia="zh-CN" w:bidi="ar"/>
              </w:rPr>
              <w:t>③功能性产业园</w:t>
            </w:r>
          </w:p>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both"/>
              <w:textAlignment w:val="center"/>
              <w:rPr>
                <w:rFonts w:hint="eastAsia" w:ascii="仿宋_GB2312" w:hAnsi="仿宋_GB2312" w:eastAsia="仿宋_GB2312" w:cs="仿宋_GB2312"/>
                <w:b w:val="0"/>
                <w:bCs w:val="0"/>
                <w:color w:val="auto"/>
                <w:kern w:val="0"/>
                <w:sz w:val="21"/>
                <w:szCs w:val="21"/>
                <w:u w:val="none"/>
                <w:lang w:bidi="ar"/>
              </w:rPr>
            </w:pPr>
            <w:r>
              <w:rPr>
                <w:rFonts w:hint="eastAsia" w:ascii="仿宋_GB2312" w:hAnsi="仿宋_GB2312" w:eastAsia="仿宋_GB2312" w:cs="仿宋_GB2312"/>
                <w:b w:val="0"/>
                <w:bCs w:val="0"/>
                <w:color w:val="auto"/>
                <w:kern w:val="0"/>
                <w:sz w:val="21"/>
                <w:szCs w:val="21"/>
                <w:u w:val="none"/>
                <w:lang w:bidi="ar"/>
              </w:rPr>
              <w:t>（1）现代种业、设施装备、数字农业</w:t>
            </w:r>
            <w:r>
              <w:rPr>
                <w:rFonts w:hint="eastAsia" w:ascii="仿宋_GB2312" w:hAnsi="仿宋_GB2312" w:eastAsia="仿宋_GB2312" w:cs="仿宋_GB2312"/>
                <w:b w:val="0"/>
                <w:bCs w:val="0"/>
                <w:color w:val="auto"/>
                <w:kern w:val="0"/>
                <w:sz w:val="21"/>
                <w:szCs w:val="21"/>
                <w:u w:val="none"/>
                <w:lang w:eastAsia="zh-CN" w:bidi="ar"/>
              </w:rPr>
              <w:t>、</w:t>
            </w:r>
            <w:r>
              <w:rPr>
                <w:rFonts w:hint="eastAsia" w:ascii="仿宋_GB2312" w:hAnsi="仿宋_GB2312" w:eastAsia="仿宋_GB2312" w:cs="仿宋_GB2312"/>
                <w:b w:val="0"/>
                <w:bCs w:val="0"/>
                <w:color w:val="auto"/>
                <w:kern w:val="0"/>
                <w:sz w:val="21"/>
                <w:szCs w:val="21"/>
                <w:u w:val="none"/>
                <w:lang w:bidi="ar"/>
              </w:rPr>
              <w:t>加工服务等领域的功能性产业园创建期间，围绕主导产业在行业核心期刊上发表文章、获得发明</w:t>
            </w:r>
            <w:r>
              <w:rPr>
                <w:rFonts w:hint="eastAsia" w:ascii="仿宋_GB2312" w:hAnsi="仿宋_GB2312" w:eastAsia="仿宋_GB2312" w:cs="仿宋_GB2312"/>
                <w:b w:val="0"/>
                <w:bCs w:val="0"/>
                <w:color w:val="auto"/>
                <w:kern w:val="0"/>
                <w:sz w:val="21"/>
                <w:szCs w:val="21"/>
                <w:u w:val="none"/>
                <w:lang w:eastAsia="zh-CN" w:bidi="ar"/>
              </w:rPr>
              <w:t>专利</w:t>
            </w:r>
            <w:r>
              <w:rPr>
                <w:rFonts w:hint="eastAsia" w:ascii="仿宋_GB2312" w:hAnsi="仿宋_GB2312" w:eastAsia="仿宋_GB2312" w:cs="仿宋_GB2312"/>
                <w:b w:val="0"/>
                <w:bCs w:val="0"/>
                <w:color w:val="auto"/>
                <w:kern w:val="0"/>
                <w:sz w:val="21"/>
                <w:szCs w:val="21"/>
                <w:u w:val="none"/>
                <w:lang w:bidi="ar"/>
              </w:rPr>
              <w:t>、软件著作权，新品种认定，或参与制定国家、地方、行业标准的，</w:t>
            </w:r>
            <w:r>
              <w:rPr>
                <w:rFonts w:hint="eastAsia" w:ascii="仿宋_GB2312" w:hAnsi="仿宋_GB2312" w:eastAsia="仿宋_GB2312" w:cs="仿宋_GB2312"/>
                <w:b w:val="0"/>
                <w:bCs w:val="0"/>
                <w:color w:val="auto"/>
                <w:kern w:val="0"/>
                <w:sz w:val="21"/>
                <w:szCs w:val="21"/>
                <w:u w:val="none"/>
                <w:lang w:eastAsia="zh-CN" w:bidi="ar"/>
              </w:rPr>
              <w:t>或取得省科学技术二等奖、省农业技术推广一等奖，</w:t>
            </w:r>
            <w:r>
              <w:rPr>
                <w:rFonts w:hint="eastAsia" w:ascii="仿宋_GB2312" w:hAnsi="仿宋_GB2312" w:eastAsia="仿宋_GB2312" w:cs="仿宋_GB2312"/>
                <w:b w:val="0"/>
                <w:bCs w:val="0"/>
                <w:color w:val="auto"/>
                <w:kern w:val="0"/>
                <w:sz w:val="21"/>
                <w:szCs w:val="21"/>
                <w:u w:val="none"/>
                <w:lang w:bidi="ar"/>
              </w:rPr>
              <w:t>达</w:t>
            </w:r>
            <w:r>
              <w:rPr>
                <w:rFonts w:hint="eastAsia" w:ascii="仿宋_GB2312" w:hAnsi="仿宋_GB2312" w:eastAsia="仿宋_GB2312" w:cs="仿宋_GB2312"/>
                <w:b w:val="0"/>
                <w:bCs w:val="0"/>
                <w:color w:val="auto"/>
                <w:kern w:val="0"/>
                <w:sz w:val="21"/>
                <w:szCs w:val="21"/>
                <w:u w:val="none"/>
                <w:lang w:val="en-US" w:eastAsia="zh-CN" w:bidi="ar"/>
              </w:rPr>
              <w:t>2</w:t>
            </w:r>
            <w:r>
              <w:rPr>
                <w:rFonts w:hint="eastAsia" w:ascii="仿宋_GB2312" w:hAnsi="仿宋_GB2312" w:eastAsia="仿宋_GB2312" w:cs="仿宋_GB2312"/>
                <w:b w:val="0"/>
                <w:bCs w:val="0"/>
                <w:color w:val="auto"/>
                <w:kern w:val="0"/>
                <w:sz w:val="21"/>
                <w:szCs w:val="21"/>
                <w:u w:val="none"/>
                <w:lang w:bidi="ar"/>
              </w:rPr>
              <w:t>项及以上的，得</w:t>
            </w:r>
            <w:r>
              <w:rPr>
                <w:rFonts w:hint="eastAsia" w:ascii="仿宋_GB2312" w:hAnsi="仿宋_GB2312" w:eastAsia="仿宋_GB2312" w:cs="仿宋_GB2312"/>
                <w:b w:val="0"/>
                <w:bCs w:val="0"/>
                <w:color w:val="auto"/>
                <w:kern w:val="0"/>
                <w:sz w:val="21"/>
                <w:szCs w:val="21"/>
                <w:u w:val="none"/>
                <w:lang w:eastAsia="zh-CN" w:bidi="ar"/>
              </w:rPr>
              <w:t>5</w:t>
            </w:r>
            <w:r>
              <w:rPr>
                <w:rFonts w:hint="eastAsia" w:ascii="仿宋_GB2312" w:hAnsi="仿宋_GB2312" w:eastAsia="仿宋_GB2312" w:cs="仿宋_GB2312"/>
                <w:b w:val="0"/>
                <w:bCs w:val="0"/>
                <w:color w:val="auto"/>
                <w:kern w:val="0"/>
                <w:sz w:val="21"/>
                <w:szCs w:val="21"/>
                <w:u w:val="none"/>
                <w:lang w:bidi="ar"/>
              </w:rPr>
              <w:t>分；1项的，得</w:t>
            </w:r>
            <w:r>
              <w:rPr>
                <w:rFonts w:hint="eastAsia" w:ascii="仿宋_GB2312" w:hAnsi="仿宋_GB2312" w:eastAsia="仿宋_GB2312" w:cs="仿宋_GB2312"/>
                <w:b w:val="0"/>
                <w:bCs w:val="0"/>
                <w:color w:val="auto"/>
                <w:kern w:val="0"/>
                <w:sz w:val="21"/>
                <w:szCs w:val="21"/>
                <w:u w:val="none"/>
                <w:lang w:eastAsia="zh-CN" w:bidi="ar"/>
              </w:rPr>
              <w:t>3</w:t>
            </w:r>
            <w:r>
              <w:rPr>
                <w:rFonts w:hint="eastAsia" w:ascii="仿宋_GB2312" w:hAnsi="仿宋_GB2312" w:eastAsia="仿宋_GB2312" w:cs="仿宋_GB2312"/>
                <w:b w:val="0"/>
                <w:bCs w:val="0"/>
                <w:color w:val="auto"/>
                <w:kern w:val="0"/>
                <w:sz w:val="21"/>
                <w:szCs w:val="21"/>
                <w:u w:val="none"/>
                <w:lang w:bidi="ar"/>
              </w:rPr>
              <w:t>分；不足1项的，不得分。</w:t>
            </w:r>
          </w:p>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b w:val="0"/>
                <w:bCs w:val="0"/>
                <w:color w:val="auto"/>
                <w:kern w:val="0"/>
                <w:sz w:val="21"/>
                <w:szCs w:val="21"/>
                <w:u w:val="none"/>
                <w:lang w:bidi="ar"/>
              </w:rPr>
              <w:t>（2）品牌培育领域的功能性产业园创建期间，围绕产业发展关键环节和突出问题，通过各项创新服务方式服务全省现代农业产业园和全省农业产业，创新服务方式达</w:t>
            </w:r>
            <w:r>
              <w:rPr>
                <w:rFonts w:hint="eastAsia" w:ascii="仿宋_GB2312" w:hAnsi="仿宋_GB2312" w:eastAsia="仿宋_GB2312" w:cs="仿宋_GB2312"/>
                <w:b w:val="0"/>
                <w:bCs w:val="0"/>
                <w:color w:val="auto"/>
                <w:kern w:val="0"/>
                <w:sz w:val="21"/>
                <w:szCs w:val="21"/>
                <w:u w:val="none"/>
                <w:lang w:eastAsia="zh-CN" w:bidi="ar"/>
              </w:rPr>
              <w:t>2</w:t>
            </w:r>
            <w:r>
              <w:rPr>
                <w:rFonts w:hint="eastAsia" w:ascii="仿宋_GB2312" w:hAnsi="仿宋_GB2312" w:eastAsia="仿宋_GB2312" w:cs="仿宋_GB2312"/>
                <w:b w:val="0"/>
                <w:bCs w:val="0"/>
                <w:color w:val="auto"/>
                <w:kern w:val="0"/>
                <w:sz w:val="21"/>
                <w:szCs w:val="21"/>
                <w:u w:val="none"/>
                <w:lang w:bidi="ar"/>
              </w:rPr>
              <w:t>项及以上的，得</w:t>
            </w:r>
            <w:r>
              <w:rPr>
                <w:rFonts w:hint="eastAsia" w:ascii="仿宋_GB2312" w:hAnsi="仿宋_GB2312" w:eastAsia="仿宋_GB2312" w:cs="仿宋_GB2312"/>
                <w:b w:val="0"/>
                <w:bCs w:val="0"/>
                <w:color w:val="auto"/>
                <w:kern w:val="0"/>
                <w:sz w:val="21"/>
                <w:szCs w:val="21"/>
                <w:u w:val="none"/>
                <w:lang w:eastAsia="zh-CN" w:bidi="ar"/>
              </w:rPr>
              <w:t>5</w:t>
            </w:r>
            <w:r>
              <w:rPr>
                <w:rFonts w:hint="eastAsia" w:ascii="仿宋_GB2312" w:hAnsi="仿宋_GB2312" w:eastAsia="仿宋_GB2312" w:cs="仿宋_GB2312"/>
                <w:b w:val="0"/>
                <w:bCs w:val="0"/>
                <w:color w:val="auto"/>
                <w:kern w:val="0"/>
                <w:sz w:val="21"/>
                <w:szCs w:val="21"/>
                <w:u w:val="none"/>
                <w:lang w:bidi="ar"/>
              </w:rPr>
              <w:t>分；</w:t>
            </w:r>
            <w:r>
              <w:rPr>
                <w:rFonts w:hint="eastAsia" w:ascii="仿宋_GB2312" w:hAnsi="仿宋_GB2312" w:eastAsia="仿宋_GB2312" w:cs="仿宋_GB2312"/>
                <w:b w:val="0"/>
                <w:bCs w:val="0"/>
                <w:color w:val="auto"/>
                <w:kern w:val="0"/>
                <w:sz w:val="21"/>
                <w:szCs w:val="21"/>
                <w:u w:val="none"/>
                <w:lang w:eastAsia="zh-CN" w:bidi="ar"/>
              </w:rPr>
              <w:t>1</w:t>
            </w:r>
            <w:r>
              <w:rPr>
                <w:rFonts w:hint="eastAsia" w:ascii="仿宋_GB2312" w:hAnsi="仿宋_GB2312" w:eastAsia="仿宋_GB2312" w:cs="仿宋_GB2312"/>
                <w:b w:val="0"/>
                <w:bCs w:val="0"/>
                <w:color w:val="auto"/>
                <w:kern w:val="0"/>
                <w:sz w:val="21"/>
                <w:szCs w:val="21"/>
                <w:u w:val="none"/>
                <w:lang w:bidi="ar"/>
              </w:rPr>
              <w:t>项的，得</w:t>
            </w:r>
            <w:r>
              <w:rPr>
                <w:rFonts w:hint="eastAsia" w:ascii="仿宋_GB2312" w:hAnsi="仿宋_GB2312" w:eastAsia="仿宋_GB2312" w:cs="仿宋_GB2312"/>
                <w:b w:val="0"/>
                <w:bCs w:val="0"/>
                <w:color w:val="auto"/>
                <w:kern w:val="0"/>
                <w:sz w:val="21"/>
                <w:szCs w:val="21"/>
                <w:u w:val="none"/>
                <w:lang w:eastAsia="zh-CN" w:bidi="ar"/>
              </w:rPr>
              <w:t>3</w:t>
            </w:r>
            <w:r>
              <w:rPr>
                <w:rFonts w:hint="eastAsia" w:ascii="仿宋_GB2312" w:hAnsi="仿宋_GB2312" w:eastAsia="仿宋_GB2312" w:cs="仿宋_GB2312"/>
                <w:b w:val="0"/>
                <w:bCs w:val="0"/>
                <w:color w:val="auto"/>
                <w:kern w:val="0"/>
                <w:sz w:val="21"/>
                <w:szCs w:val="21"/>
                <w:u w:val="none"/>
                <w:lang w:bidi="ar"/>
              </w:rPr>
              <w:t>分；不足1项的，不得分。</w:t>
            </w:r>
          </w:p>
        </w:tc>
        <w:tc>
          <w:tcPr>
            <w:tcW w:w="404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反映产业园主导产业规模是否达到要求：</w:t>
            </w:r>
            <w:r>
              <w:rPr>
                <w:rFonts w:hint="eastAsia" w:ascii="仿宋_GB2312" w:hAnsi="仿宋_GB2312" w:eastAsia="仿宋_GB2312" w:cs="仿宋_GB2312"/>
                <w:color w:val="auto"/>
                <w:kern w:val="0"/>
                <w:sz w:val="21"/>
                <w:szCs w:val="21"/>
                <w:lang w:bidi="ar"/>
              </w:rPr>
              <w:t>申报跨县集群产业园须跨县域（单个县域产业种养规模不低于总规模20%），种植面积15万亩、生猪年出栏量200万头、家禽年出栏5000万羽、水产养殖面积2万亩以上；申报特色产业园须具备一定规模，种植面积5万亩、生猪年出栏量50万头、家禽年出栏1000万羽、水产养殖面积1万亩以上</w:t>
            </w:r>
            <w:r>
              <w:rPr>
                <w:rFonts w:hint="eastAsia" w:ascii="仿宋_GB2312" w:hAnsi="仿宋_GB2312" w:eastAsia="仿宋_GB2312" w:cs="仿宋_GB2312"/>
                <w:color w:val="auto"/>
                <w:kern w:val="0"/>
                <w:sz w:val="21"/>
                <w:szCs w:val="21"/>
                <w:lang w:eastAsia="zh-CN" w:bidi="ar"/>
              </w:rPr>
              <w:t>。粮食、天然橡胶以及特色鲜明的产业园，可适当降低规模。</w:t>
            </w:r>
            <w:r>
              <w:rPr>
                <w:rFonts w:hint="eastAsia" w:ascii="仿宋_GB2312" w:hAnsi="仿宋_GB2312" w:eastAsia="仿宋_GB2312" w:cs="仿宋_GB2312"/>
                <w:b w:val="0"/>
                <w:bCs w:val="0"/>
                <w:color w:val="auto"/>
                <w:kern w:val="0"/>
                <w:sz w:val="21"/>
                <w:szCs w:val="21"/>
                <w:lang w:bidi="ar"/>
              </w:rPr>
              <w:t>功能性产业园应在现代种业、加工服务、设施装备、数字农业、品牌建设等领域,居于全省行业领先地位,要素资源聚集基础较好,创新服务、技术成果转化能力较强,可显著提升产业发展水平。</w:t>
            </w:r>
          </w:p>
        </w:tc>
        <w:tc>
          <w:tcPr>
            <w:tcW w:w="72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left"/>
              <w:textAlignment w:val="center"/>
              <w:rPr>
                <w:rFonts w:hint="eastAsia" w:ascii="仿宋_GB2312" w:hAnsi="仿宋_GB2312" w:eastAsia="仿宋_GB2312" w:cs="仿宋_GB2312"/>
                <w:color w:val="auto"/>
                <w:kern w:val="0"/>
                <w:sz w:val="21"/>
                <w:szCs w:val="21"/>
                <w:u w:val="none"/>
                <w:lang w:val="en-US" w:eastAsia="zh-CN" w:bidi="ar"/>
              </w:rPr>
            </w:pPr>
          </w:p>
        </w:tc>
        <w:tc>
          <w:tcPr>
            <w:tcW w:w="70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rPr>
          <w:trHeight w:val="3786" w:hRule="atLeast"/>
          <w:jc w:val="center"/>
        </w:trPr>
        <w:tc>
          <w:tcPr>
            <w:tcW w:w="1130" w:type="dxa"/>
            <w:vMerge w:val="continue"/>
            <w:noWrap w:val="0"/>
            <w:vAlign w:val="center"/>
          </w:tcPr>
          <w:p>
            <w:pPr>
              <w:widowControl w:val="0"/>
              <w:numPr>
                <w:ilvl w:val="0"/>
                <w:numId w:val="0"/>
              </w:numPr>
              <w:adjustRightInd w:val="0"/>
              <w:snapToGrid w:val="0"/>
              <w:spacing w:beforeLines="0" w:afterLines="0" w:line="240" w:lineRule="auto"/>
              <w:jc w:val="center"/>
              <w:textAlignment w:val="center"/>
              <w:rPr>
                <w:rFonts w:hint="eastAsia"/>
                <w:color w:val="auto"/>
                <w:sz w:val="21"/>
                <w:szCs w:val="21"/>
                <w:lang w:val="en-US" w:eastAsia="zh-CN"/>
              </w:rPr>
            </w:pPr>
          </w:p>
        </w:tc>
        <w:tc>
          <w:tcPr>
            <w:tcW w:w="126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产业园项目开工率</w:t>
            </w:r>
          </w:p>
        </w:tc>
        <w:tc>
          <w:tcPr>
            <w:tcW w:w="67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5</w:t>
            </w:r>
          </w:p>
        </w:tc>
        <w:tc>
          <w:tcPr>
            <w:tcW w:w="481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left"/>
              <w:textAlignment w:val="auto"/>
              <w:rPr>
                <w:rFonts w:hint="default" w:ascii="仿宋_GB2312" w:hAnsi="仿宋_GB2312" w:eastAsia="仿宋_GB2312" w:cs="仿宋_GB2312"/>
                <w:i w:val="0"/>
                <w:iCs w:val="0"/>
                <w:color w:val="auto"/>
                <w:kern w:val="0"/>
                <w:sz w:val="21"/>
                <w:szCs w:val="21"/>
                <w:u w:val="none"/>
                <w:lang w:val="en-US" w:eastAsia="zh-Hans" w:bidi="ar"/>
              </w:rPr>
            </w:pPr>
            <w:r>
              <w:rPr>
                <w:rFonts w:hint="default" w:ascii="仿宋_GB2312" w:hAnsi="仿宋_GB2312" w:eastAsia="仿宋_GB2312" w:cs="仿宋_GB2312"/>
                <w:i w:val="0"/>
                <w:iCs w:val="0"/>
                <w:color w:val="auto"/>
                <w:kern w:val="0"/>
                <w:sz w:val="21"/>
                <w:szCs w:val="21"/>
                <w:u w:val="none"/>
                <w:lang w:val="en-US" w:eastAsia="zh-CN" w:bidi="ar"/>
              </w:rPr>
              <w:t>①</w:t>
            </w:r>
            <w:r>
              <w:rPr>
                <w:rFonts w:hint="eastAsia" w:ascii="仿宋_GB2312" w:hAnsi="仿宋_GB2312" w:eastAsia="仿宋_GB2312" w:cs="仿宋_GB2312"/>
                <w:i w:val="0"/>
                <w:iCs w:val="0"/>
                <w:color w:val="auto"/>
                <w:kern w:val="0"/>
                <w:sz w:val="21"/>
                <w:szCs w:val="21"/>
                <w:u w:val="none"/>
                <w:lang w:val="en-US" w:eastAsia="zh-CN" w:bidi="ar"/>
              </w:rPr>
              <w:t>产业园项目</w:t>
            </w:r>
            <w:r>
              <w:rPr>
                <w:rFonts w:hint="eastAsia" w:ascii="仿宋_GB2312" w:hAnsi="仿宋_GB2312" w:eastAsia="仿宋_GB2312" w:cs="仿宋_GB2312"/>
                <w:i w:val="0"/>
                <w:iCs w:val="0"/>
                <w:color w:val="auto"/>
                <w:kern w:val="0"/>
                <w:sz w:val="21"/>
                <w:szCs w:val="21"/>
                <w:u w:val="none"/>
                <w:lang w:val="en-US" w:eastAsia="zh-Hans" w:bidi="ar"/>
              </w:rPr>
              <w:t>开工率</w:t>
            </w:r>
            <w:r>
              <w:rPr>
                <w:rFonts w:hint="eastAsia" w:ascii="仿宋_GB2312" w:hAnsi="仿宋_GB2312" w:eastAsia="仿宋_GB2312" w:cs="仿宋_GB2312"/>
                <w:i w:val="0"/>
                <w:iCs w:val="0"/>
                <w:color w:val="auto"/>
                <w:kern w:val="0"/>
                <w:sz w:val="21"/>
                <w:szCs w:val="21"/>
                <w:u w:val="none"/>
                <w:lang w:val="en-US" w:eastAsia="zh-CN" w:bidi="ar"/>
              </w:rPr>
              <w:t>达</w:t>
            </w:r>
            <w:r>
              <w:rPr>
                <w:rFonts w:hint="default" w:ascii="仿宋_GB2312" w:hAnsi="仿宋_GB2312" w:eastAsia="仿宋_GB2312" w:cs="仿宋_GB2312"/>
                <w:i w:val="0"/>
                <w:iCs w:val="0"/>
                <w:color w:val="auto"/>
                <w:kern w:val="0"/>
                <w:sz w:val="21"/>
                <w:szCs w:val="21"/>
                <w:u w:val="none"/>
                <w:lang w:val="en-US" w:eastAsia="zh-Hans" w:bidi="ar"/>
              </w:rPr>
              <w:t>80%</w:t>
            </w:r>
            <w:r>
              <w:rPr>
                <w:rFonts w:hint="eastAsia" w:ascii="仿宋_GB2312" w:hAnsi="仿宋_GB2312" w:eastAsia="仿宋_GB2312" w:cs="仿宋_GB2312"/>
                <w:i w:val="0"/>
                <w:iCs w:val="0"/>
                <w:color w:val="auto"/>
                <w:kern w:val="0"/>
                <w:sz w:val="21"/>
                <w:szCs w:val="21"/>
                <w:u w:val="none"/>
                <w:lang w:val="en-US" w:eastAsia="zh-CN" w:bidi="ar"/>
              </w:rPr>
              <w:t>（含）</w:t>
            </w:r>
            <w:r>
              <w:rPr>
                <w:rFonts w:hint="eastAsia" w:ascii="仿宋_GB2312" w:hAnsi="仿宋_GB2312" w:eastAsia="仿宋_GB2312" w:cs="仿宋_GB2312"/>
                <w:i w:val="0"/>
                <w:iCs w:val="0"/>
                <w:color w:val="auto"/>
                <w:kern w:val="0"/>
                <w:sz w:val="21"/>
                <w:szCs w:val="21"/>
                <w:u w:val="none"/>
                <w:lang w:val="en-US" w:eastAsia="zh-Hans" w:bidi="ar"/>
              </w:rPr>
              <w:t>以上的</w:t>
            </w:r>
            <w:r>
              <w:rPr>
                <w:rFonts w:hint="default" w:ascii="仿宋_GB2312" w:hAnsi="仿宋_GB2312" w:eastAsia="仿宋_GB2312" w:cs="仿宋_GB2312"/>
                <w:i w:val="0"/>
                <w:iCs w:val="0"/>
                <w:color w:val="auto"/>
                <w:kern w:val="0"/>
                <w:sz w:val="21"/>
                <w:szCs w:val="21"/>
                <w:u w:val="none"/>
                <w:lang w:val="en-US" w:eastAsia="zh-Hans" w:bidi="ar"/>
              </w:rPr>
              <w:t>，</w:t>
            </w:r>
            <w:r>
              <w:rPr>
                <w:rFonts w:hint="eastAsia" w:ascii="仿宋_GB2312" w:hAnsi="仿宋_GB2312" w:eastAsia="仿宋_GB2312" w:cs="仿宋_GB2312"/>
                <w:i w:val="0"/>
                <w:iCs w:val="0"/>
                <w:color w:val="auto"/>
                <w:kern w:val="0"/>
                <w:sz w:val="21"/>
                <w:szCs w:val="21"/>
                <w:u w:val="none"/>
                <w:lang w:val="en-US" w:eastAsia="zh-Hans" w:bidi="ar"/>
              </w:rPr>
              <w:t>得</w:t>
            </w:r>
            <w:r>
              <w:rPr>
                <w:rFonts w:hint="eastAsia" w:ascii="仿宋_GB2312" w:hAnsi="仿宋_GB2312" w:eastAsia="仿宋_GB2312" w:cs="仿宋_GB2312"/>
                <w:i w:val="0"/>
                <w:iCs w:val="0"/>
                <w:color w:val="auto"/>
                <w:kern w:val="0"/>
                <w:sz w:val="21"/>
                <w:szCs w:val="21"/>
                <w:u w:val="none"/>
                <w:lang w:val="en-US" w:eastAsia="zh-CN" w:bidi="ar"/>
              </w:rPr>
              <w:t>5</w:t>
            </w:r>
            <w:r>
              <w:rPr>
                <w:rFonts w:hint="eastAsia" w:ascii="仿宋_GB2312" w:hAnsi="仿宋_GB2312" w:eastAsia="仿宋_GB2312" w:cs="仿宋_GB2312"/>
                <w:i w:val="0"/>
                <w:iCs w:val="0"/>
                <w:color w:val="auto"/>
                <w:kern w:val="0"/>
                <w:sz w:val="21"/>
                <w:szCs w:val="21"/>
                <w:u w:val="none"/>
                <w:lang w:val="en-US" w:eastAsia="zh-Hans" w:bidi="ar"/>
              </w:rPr>
              <w:t>分</w:t>
            </w:r>
            <w:r>
              <w:rPr>
                <w:rFonts w:hint="eastAsia" w:ascii="仿宋_GB2312" w:hAnsi="仿宋_GB2312" w:eastAsia="仿宋_GB2312" w:cs="仿宋_GB2312"/>
                <w:i w:val="0"/>
                <w:iCs w:val="0"/>
                <w:color w:val="auto"/>
                <w:kern w:val="0"/>
                <w:sz w:val="21"/>
                <w:szCs w:val="21"/>
                <w:u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left"/>
              <w:textAlignment w:val="auto"/>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②</w:t>
            </w:r>
            <w:r>
              <w:rPr>
                <w:rFonts w:hint="eastAsia" w:ascii="仿宋_GB2312" w:hAnsi="仿宋_GB2312" w:eastAsia="仿宋_GB2312" w:cs="仿宋_GB2312"/>
                <w:i w:val="0"/>
                <w:iCs w:val="0"/>
                <w:color w:val="auto"/>
                <w:kern w:val="0"/>
                <w:sz w:val="21"/>
                <w:szCs w:val="21"/>
                <w:u w:val="none"/>
                <w:lang w:val="en-US" w:eastAsia="zh-CN" w:bidi="ar"/>
              </w:rPr>
              <w:t>产业园项目</w:t>
            </w:r>
            <w:r>
              <w:rPr>
                <w:rFonts w:hint="eastAsia" w:ascii="仿宋_GB2312" w:hAnsi="仿宋_GB2312" w:eastAsia="仿宋_GB2312" w:cs="仿宋_GB2312"/>
                <w:i w:val="0"/>
                <w:iCs w:val="0"/>
                <w:color w:val="auto"/>
                <w:kern w:val="0"/>
                <w:sz w:val="21"/>
                <w:szCs w:val="21"/>
                <w:u w:val="none"/>
                <w:lang w:val="en-US" w:eastAsia="zh-Hans" w:bidi="ar"/>
              </w:rPr>
              <w:t>开工率</w:t>
            </w:r>
            <w:r>
              <w:rPr>
                <w:rFonts w:hint="eastAsia" w:ascii="仿宋_GB2312" w:hAnsi="仿宋_GB2312" w:eastAsia="仿宋_GB2312" w:cs="仿宋_GB2312"/>
                <w:i w:val="0"/>
                <w:iCs w:val="0"/>
                <w:color w:val="auto"/>
                <w:kern w:val="0"/>
                <w:sz w:val="21"/>
                <w:szCs w:val="21"/>
                <w:u w:val="none"/>
                <w:lang w:val="en-US" w:eastAsia="zh-CN" w:bidi="ar"/>
              </w:rPr>
              <w:t>低于80%的</w:t>
            </w:r>
            <w:r>
              <w:rPr>
                <w:rFonts w:hint="default" w:ascii="仿宋_GB2312" w:hAnsi="仿宋_GB2312" w:eastAsia="仿宋_GB2312" w:cs="仿宋_GB2312"/>
                <w:i w:val="0"/>
                <w:iCs w:val="0"/>
                <w:color w:val="auto"/>
                <w:kern w:val="0"/>
                <w:sz w:val="21"/>
                <w:szCs w:val="21"/>
                <w:u w:val="none"/>
                <w:lang w:val="en-US" w:eastAsia="zh-Hans" w:bidi="ar"/>
              </w:rPr>
              <w:t>，</w:t>
            </w:r>
            <w:r>
              <w:rPr>
                <w:rFonts w:hint="eastAsia" w:ascii="仿宋_GB2312" w:hAnsi="仿宋_GB2312" w:eastAsia="仿宋_GB2312" w:cs="仿宋_GB2312"/>
                <w:i w:val="0"/>
                <w:iCs w:val="0"/>
                <w:color w:val="auto"/>
                <w:kern w:val="0"/>
                <w:sz w:val="21"/>
                <w:szCs w:val="21"/>
                <w:u w:val="none"/>
                <w:lang w:val="en-US" w:eastAsia="zh-Hans" w:bidi="ar"/>
              </w:rPr>
              <w:t>不得分</w:t>
            </w:r>
            <w:r>
              <w:rPr>
                <w:rFonts w:hint="default" w:ascii="仿宋_GB2312" w:hAnsi="仿宋_GB2312" w:eastAsia="仿宋_GB2312" w:cs="仿宋_GB2312"/>
                <w:i w:val="0"/>
                <w:iCs w:val="0"/>
                <w:color w:val="auto"/>
                <w:kern w:val="0"/>
                <w:sz w:val="21"/>
                <w:szCs w:val="21"/>
                <w:u w:val="none"/>
                <w:lang w:val="en-US" w:eastAsia="zh-Hans" w:bidi="ar"/>
              </w:rPr>
              <w:t>。</w:t>
            </w:r>
          </w:p>
        </w:tc>
        <w:tc>
          <w:tcPr>
            <w:tcW w:w="404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反映产业园开工率情况。</w:t>
            </w:r>
          </w:p>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①</w:t>
            </w:r>
            <w:r>
              <w:rPr>
                <w:rFonts w:hint="eastAsia" w:ascii="仿宋_GB2312" w:hAnsi="仿宋_GB2312" w:eastAsia="仿宋_GB2312" w:cs="仿宋_GB2312"/>
                <w:i w:val="0"/>
                <w:iCs w:val="0"/>
                <w:color w:val="auto"/>
                <w:kern w:val="0"/>
                <w:sz w:val="21"/>
                <w:szCs w:val="21"/>
                <w:u w:val="none"/>
                <w:lang w:val="en-US" w:eastAsia="zh-CN" w:bidi="ar"/>
              </w:rPr>
              <w:t>项目总数：根据备案的资金使用方案安排产业园第一批补助资金建设的项目总数。</w:t>
            </w:r>
          </w:p>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both"/>
              <w:textAlignment w:val="center"/>
              <w:rPr>
                <w:rFonts w:hint="default" w:ascii="仿宋_GB2312" w:hAnsi="仿宋_GB2312" w:eastAsia="仿宋_GB2312" w:cs="仿宋_GB2312"/>
                <w:i w:val="0"/>
                <w:iCs w:val="0"/>
                <w:color w:val="auto"/>
                <w:kern w:val="0"/>
                <w:sz w:val="21"/>
                <w:szCs w:val="21"/>
                <w:u w:val="none"/>
                <w:lang w:eastAsia="zh-Hans" w:bidi="ar"/>
              </w:rPr>
            </w:pPr>
            <w:r>
              <w:rPr>
                <w:rFonts w:hint="default" w:ascii="仿宋_GB2312" w:hAnsi="仿宋_GB2312" w:eastAsia="仿宋_GB2312" w:cs="仿宋_GB2312"/>
                <w:i w:val="0"/>
                <w:iCs w:val="0"/>
                <w:color w:val="auto"/>
                <w:kern w:val="0"/>
                <w:sz w:val="21"/>
                <w:szCs w:val="21"/>
                <w:u w:val="none"/>
                <w:lang w:val="en-US" w:eastAsia="zh-CN" w:bidi="ar"/>
              </w:rPr>
              <w:t>②</w:t>
            </w:r>
            <w:r>
              <w:rPr>
                <w:rFonts w:hint="eastAsia" w:ascii="仿宋_GB2312" w:hAnsi="仿宋_GB2312" w:eastAsia="仿宋_GB2312" w:cs="仿宋_GB2312"/>
                <w:i w:val="0"/>
                <w:iCs w:val="0"/>
                <w:color w:val="auto"/>
                <w:kern w:val="0"/>
                <w:sz w:val="21"/>
                <w:szCs w:val="21"/>
                <w:u w:val="none"/>
                <w:lang w:val="en-US" w:eastAsia="zh-Hans" w:bidi="ar"/>
              </w:rPr>
              <w:t>开工项目</w:t>
            </w:r>
            <w:r>
              <w:rPr>
                <w:rFonts w:hint="eastAsia" w:ascii="仿宋_GB2312" w:hAnsi="仿宋_GB2312" w:eastAsia="仿宋_GB2312" w:cs="仿宋_GB2312"/>
                <w:i w:val="0"/>
                <w:iCs w:val="0"/>
                <w:color w:val="auto"/>
                <w:kern w:val="0"/>
                <w:sz w:val="21"/>
                <w:szCs w:val="21"/>
                <w:u w:val="none"/>
                <w:lang w:val="en-US" w:eastAsia="zh-CN" w:bidi="ar"/>
              </w:rPr>
              <w:t>个数：</w:t>
            </w:r>
            <w:r>
              <w:rPr>
                <w:rFonts w:hint="eastAsia" w:ascii="仿宋_GB2312" w:hAnsi="仿宋_GB2312" w:eastAsia="仿宋_GB2312" w:cs="仿宋_GB2312"/>
                <w:i w:val="0"/>
                <w:iCs w:val="0"/>
                <w:color w:val="auto"/>
                <w:kern w:val="0"/>
                <w:sz w:val="21"/>
                <w:szCs w:val="21"/>
                <w:u w:val="none"/>
                <w:lang w:val="en-US" w:eastAsia="zh-Hans" w:bidi="ar"/>
              </w:rPr>
              <w:t>签订合同并按照合同</w:t>
            </w:r>
            <w:r>
              <w:rPr>
                <w:rFonts w:hint="eastAsia" w:ascii="仿宋_GB2312" w:hAnsi="仿宋_GB2312" w:eastAsia="仿宋_GB2312" w:cs="仿宋_GB2312"/>
                <w:i w:val="0"/>
                <w:iCs w:val="0"/>
                <w:color w:val="auto"/>
                <w:kern w:val="0"/>
                <w:sz w:val="21"/>
                <w:szCs w:val="21"/>
                <w:u w:val="none"/>
                <w:lang w:val="en-US" w:eastAsia="zh-CN" w:bidi="ar"/>
              </w:rPr>
              <w:t>约定支付</w:t>
            </w:r>
            <w:r>
              <w:rPr>
                <w:rFonts w:hint="eastAsia" w:ascii="仿宋_GB2312" w:hAnsi="仿宋_GB2312" w:eastAsia="仿宋_GB2312" w:cs="仿宋_GB2312"/>
                <w:i w:val="0"/>
                <w:iCs w:val="0"/>
                <w:color w:val="auto"/>
                <w:kern w:val="0"/>
                <w:sz w:val="21"/>
                <w:szCs w:val="21"/>
                <w:u w:val="none"/>
                <w:lang w:val="en-US" w:eastAsia="zh-Hans" w:bidi="ar"/>
              </w:rPr>
              <w:t>第一笔</w:t>
            </w:r>
            <w:r>
              <w:rPr>
                <w:rFonts w:hint="eastAsia" w:ascii="仿宋_GB2312" w:hAnsi="仿宋_GB2312" w:eastAsia="仿宋_GB2312" w:cs="仿宋_GB2312"/>
                <w:i w:val="0"/>
                <w:iCs w:val="0"/>
                <w:color w:val="auto"/>
                <w:kern w:val="0"/>
                <w:sz w:val="21"/>
                <w:szCs w:val="21"/>
                <w:u w:val="none"/>
                <w:lang w:val="en-US" w:eastAsia="zh-CN" w:bidi="ar"/>
              </w:rPr>
              <w:t>项目款</w:t>
            </w:r>
            <w:r>
              <w:rPr>
                <w:rFonts w:hint="eastAsia" w:ascii="仿宋_GB2312" w:hAnsi="仿宋_GB2312" w:eastAsia="仿宋_GB2312" w:cs="仿宋_GB2312"/>
                <w:i w:val="0"/>
                <w:iCs w:val="0"/>
                <w:color w:val="auto"/>
                <w:kern w:val="0"/>
                <w:sz w:val="21"/>
                <w:szCs w:val="21"/>
                <w:u w:val="none"/>
                <w:lang w:val="en-US" w:eastAsia="zh-Hans" w:bidi="ar"/>
              </w:rPr>
              <w:t>的项目</w:t>
            </w:r>
            <w:r>
              <w:rPr>
                <w:rFonts w:hint="eastAsia" w:ascii="仿宋_GB2312" w:hAnsi="仿宋_GB2312" w:eastAsia="仿宋_GB2312" w:cs="仿宋_GB2312"/>
                <w:i w:val="0"/>
                <w:iCs w:val="0"/>
                <w:color w:val="auto"/>
                <w:kern w:val="0"/>
                <w:sz w:val="21"/>
                <w:szCs w:val="21"/>
                <w:u w:val="none"/>
                <w:lang w:val="en-US" w:eastAsia="zh-CN" w:bidi="ar"/>
              </w:rPr>
              <w:t>个数</w:t>
            </w:r>
            <w:r>
              <w:rPr>
                <w:rFonts w:hint="default" w:ascii="仿宋_GB2312" w:hAnsi="仿宋_GB2312" w:eastAsia="仿宋_GB2312" w:cs="仿宋_GB2312"/>
                <w:i w:val="0"/>
                <w:iCs w:val="0"/>
                <w:color w:val="auto"/>
                <w:kern w:val="0"/>
                <w:sz w:val="21"/>
                <w:szCs w:val="21"/>
                <w:u w:val="none"/>
                <w:lang w:eastAsia="zh-Hans"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③</w:t>
            </w:r>
            <w:r>
              <w:rPr>
                <w:rFonts w:hint="eastAsia" w:ascii="仿宋_GB2312" w:hAnsi="仿宋_GB2312" w:eastAsia="仿宋_GB2312" w:cs="仿宋_GB2312"/>
                <w:i w:val="0"/>
                <w:iCs w:val="0"/>
                <w:color w:val="auto"/>
                <w:kern w:val="0"/>
                <w:sz w:val="21"/>
                <w:szCs w:val="21"/>
                <w:u w:val="none"/>
                <w:lang w:val="en-US" w:eastAsia="zh-CN" w:bidi="ar"/>
              </w:rPr>
              <w:t>省级财政补助资金补助额度前五的项目（资金使用方案安排使用第二批补助资金的项目除外）必须开工，否则视为开工率达80%以下。</w:t>
            </w:r>
          </w:p>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④该指标</w:t>
            </w:r>
            <w:r>
              <w:rPr>
                <w:rFonts w:hint="default" w:ascii="仿宋_GB2312" w:hAnsi="仿宋_GB2312" w:eastAsia="仿宋_GB2312" w:cs="仿宋_GB2312"/>
                <w:i w:val="0"/>
                <w:iCs w:val="0"/>
                <w:color w:val="auto"/>
                <w:kern w:val="0"/>
                <w:sz w:val="21"/>
                <w:szCs w:val="21"/>
                <w:u w:val="none"/>
                <w:lang w:eastAsia="zh-Hans" w:bidi="ar"/>
              </w:rPr>
              <w:t>=</w:t>
            </w:r>
            <w:r>
              <w:rPr>
                <w:rFonts w:hint="eastAsia" w:ascii="仿宋_GB2312" w:hAnsi="仿宋_GB2312" w:eastAsia="仿宋_GB2312" w:cs="仿宋_GB2312"/>
                <w:i w:val="0"/>
                <w:iCs w:val="0"/>
                <w:color w:val="auto"/>
                <w:kern w:val="0"/>
                <w:sz w:val="21"/>
                <w:szCs w:val="21"/>
                <w:u w:val="none"/>
                <w:lang w:val="en-US" w:eastAsia="zh-Hans" w:bidi="ar"/>
              </w:rPr>
              <w:t>开工项目个数</w:t>
            </w:r>
            <w:r>
              <w:rPr>
                <w:rFonts w:hint="default" w:ascii="仿宋_GB2312" w:hAnsi="仿宋_GB2312" w:eastAsia="仿宋_GB2312" w:cs="仿宋_GB2312"/>
                <w:i w:val="0"/>
                <w:iCs w:val="0"/>
                <w:color w:val="auto"/>
                <w:kern w:val="0"/>
                <w:sz w:val="21"/>
                <w:szCs w:val="21"/>
                <w:u w:val="none"/>
                <w:lang w:eastAsia="zh-Hans" w:bidi="ar"/>
              </w:rPr>
              <w:t>/</w:t>
            </w:r>
            <w:r>
              <w:rPr>
                <w:rFonts w:hint="eastAsia" w:ascii="仿宋_GB2312" w:hAnsi="仿宋_GB2312" w:eastAsia="仿宋_GB2312" w:cs="仿宋_GB2312"/>
                <w:i w:val="0"/>
                <w:iCs w:val="0"/>
                <w:color w:val="auto"/>
                <w:kern w:val="0"/>
                <w:sz w:val="21"/>
                <w:szCs w:val="21"/>
                <w:u w:val="none"/>
                <w:lang w:val="en-US" w:eastAsia="zh-Hans" w:bidi="ar"/>
              </w:rPr>
              <w:t>项目总数×</w:t>
            </w:r>
            <w:r>
              <w:rPr>
                <w:rFonts w:hint="eastAsia" w:ascii="仿宋_GB2312" w:hAnsi="仿宋_GB2312" w:eastAsia="仿宋_GB2312" w:cs="仿宋_GB2312"/>
                <w:i w:val="0"/>
                <w:iCs w:val="0"/>
                <w:color w:val="auto"/>
                <w:kern w:val="0"/>
                <w:sz w:val="21"/>
                <w:szCs w:val="21"/>
                <w:u w:val="none"/>
                <w:lang w:val="en-US" w:eastAsia="zh-CN" w:bidi="ar"/>
              </w:rPr>
              <w:t>100%</w:t>
            </w:r>
            <w:r>
              <w:rPr>
                <w:rFonts w:hint="default" w:ascii="仿宋_GB2312" w:hAnsi="仿宋_GB2312" w:eastAsia="仿宋_GB2312" w:cs="仿宋_GB2312"/>
                <w:i w:val="0"/>
                <w:iCs w:val="0"/>
                <w:color w:val="auto"/>
                <w:kern w:val="0"/>
                <w:sz w:val="21"/>
                <w:szCs w:val="21"/>
                <w:u w:val="none"/>
                <w:lang w:eastAsia="zh-Hans" w:bidi="ar"/>
              </w:rPr>
              <w:t>。</w:t>
            </w:r>
          </w:p>
        </w:tc>
        <w:tc>
          <w:tcPr>
            <w:tcW w:w="72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left"/>
              <w:textAlignment w:val="center"/>
              <w:rPr>
                <w:rFonts w:hint="default" w:ascii="仿宋_GB2312" w:hAnsi="仿宋_GB2312" w:eastAsia="仿宋_GB2312" w:cs="仿宋_GB2312"/>
                <w:i w:val="0"/>
                <w:iCs w:val="0"/>
                <w:color w:val="auto"/>
                <w:kern w:val="0"/>
                <w:sz w:val="21"/>
                <w:szCs w:val="21"/>
                <w:u w:val="none"/>
                <w:lang w:val="en-US" w:eastAsia="zh-CN" w:bidi="ar"/>
              </w:rPr>
            </w:pPr>
          </w:p>
        </w:tc>
        <w:tc>
          <w:tcPr>
            <w:tcW w:w="70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rPr>
          <w:trHeight w:val="1996" w:hRule="atLeast"/>
          <w:jc w:val="center"/>
        </w:trPr>
        <w:tc>
          <w:tcPr>
            <w:tcW w:w="1130" w:type="dxa"/>
            <w:vMerge w:val="continue"/>
            <w:noWrap w:val="0"/>
            <w:vAlign w:val="center"/>
          </w:tcPr>
          <w:p>
            <w:pPr>
              <w:widowControl w:val="0"/>
              <w:numPr>
                <w:ilvl w:val="0"/>
                <w:numId w:val="0"/>
              </w:numPr>
              <w:adjustRightInd w:val="0"/>
              <w:snapToGrid w:val="0"/>
              <w:spacing w:beforeLines="0" w:afterLines="0" w:line="240" w:lineRule="auto"/>
              <w:jc w:val="center"/>
              <w:textAlignment w:val="center"/>
              <w:rPr>
                <w:rFonts w:hint="eastAsia"/>
                <w:color w:val="auto"/>
                <w:sz w:val="21"/>
                <w:szCs w:val="21"/>
                <w:lang w:val="en-US" w:eastAsia="zh-CN"/>
              </w:rPr>
            </w:pPr>
          </w:p>
        </w:tc>
        <w:tc>
          <w:tcPr>
            <w:tcW w:w="126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产业园建设项目完成情况</w:t>
            </w:r>
          </w:p>
        </w:tc>
        <w:tc>
          <w:tcPr>
            <w:tcW w:w="67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15</w:t>
            </w:r>
          </w:p>
        </w:tc>
        <w:tc>
          <w:tcPr>
            <w:tcW w:w="4815" w:type="dxa"/>
            <w:noWrap w:val="0"/>
            <w:vAlign w:val="center"/>
          </w:tcPr>
          <w:p>
            <w:pPr>
              <w:adjustRightInd w:val="0"/>
              <w:snapToGrid w:val="0"/>
              <w:spacing w:beforeLines="0" w:afterLines="0"/>
              <w:textAlignment w:val="center"/>
            </w:pPr>
            <w:r>
              <w:rPr>
                <w:rFonts w:hint="default" w:ascii="仿宋_GB2312" w:hAnsi="仿宋_GB2312" w:eastAsia="仿宋_GB2312" w:cs="仿宋_GB2312"/>
                <w:i w:val="0"/>
                <w:iCs w:val="0"/>
                <w:color w:val="auto"/>
                <w:kern w:val="0"/>
                <w:sz w:val="21"/>
                <w:szCs w:val="21"/>
                <w:u w:val="none"/>
                <w:lang w:val="en-US" w:eastAsia="zh-CN" w:bidi="ar"/>
              </w:rPr>
              <w:t>①</w:t>
            </w:r>
            <w:r>
              <w:rPr>
                <w:rFonts w:hint="eastAsia" w:ascii="仿宋_GB2312" w:hAnsi="仿宋_GB2312" w:eastAsia="仿宋_GB2312" w:cs="仿宋_GB2312"/>
                <w:i w:val="0"/>
                <w:iCs w:val="0"/>
                <w:color w:val="auto"/>
                <w:kern w:val="0"/>
                <w:sz w:val="21"/>
                <w:szCs w:val="21"/>
                <w:u w:val="none"/>
                <w:lang w:val="en-US" w:eastAsia="zh-CN" w:bidi="ar"/>
              </w:rPr>
              <w:t>产业园项目</w:t>
            </w:r>
            <w:r>
              <w:rPr>
                <w:rFonts w:hint="eastAsia" w:ascii="仿宋_GB2312" w:hAnsi="仿宋_GB2312" w:eastAsia="仿宋_GB2312" w:cs="仿宋_GB2312"/>
                <w:i w:val="0"/>
                <w:iCs w:val="0"/>
                <w:color w:val="auto"/>
                <w:kern w:val="0"/>
                <w:sz w:val="21"/>
                <w:szCs w:val="21"/>
                <w:u w:val="none"/>
                <w:lang w:val="en-US" w:eastAsia="zh-Hans" w:bidi="ar"/>
              </w:rPr>
              <w:t>建设</w:t>
            </w:r>
            <w:r>
              <w:rPr>
                <w:rFonts w:hint="eastAsia" w:ascii="仿宋_GB2312" w:hAnsi="仿宋_GB2312" w:eastAsia="仿宋_GB2312" w:cs="仿宋_GB2312"/>
                <w:i w:val="0"/>
                <w:iCs w:val="0"/>
                <w:color w:val="auto"/>
                <w:kern w:val="0"/>
                <w:sz w:val="21"/>
                <w:szCs w:val="21"/>
                <w:u w:val="none"/>
                <w:lang w:val="en-US" w:eastAsia="zh-CN" w:bidi="ar"/>
              </w:rPr>
              <w:t>情况良好，项目平均完成率达到50%（含）以上，得15分。</w:t>
            </w:r>
          </w:p>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②产业园项目</w:t>
            </w:r>
            <w:r>
              <w:rPr>
                <w:rFonts w:hint="eastAsia" w:ascii="仿宋_GB2312" w:hAnsi="仿宋_GB2312" w:eastAsia="仿宋_GB2312" w:cs="仿宋_GB2312"/>
                <w:i w:val="0"/>
                <w:iCs w:val="0"/>
                <w:color w:val="auto"/>
                <w:kern w:val="0"/>
                <w:sz w:val="21"/>
                <w:szCs w:val="21"/>
                <w:u w:val="none"/>
                <w:lang w:val="en-US" w:eastAsia="zh-Hans" w:bidi="ar"/>
              </w:rPr>
              <w:t>建设</w:t>
            </w:r>
            <w:r>
              <w:rPr>
                <w:rFonts w:hint="eastAsia" w:ascii="仿宋_GB2312" w:hAnsi="仿宋_GB2312" w:eastAsia="仿宋_GB2312" w:cs="仿宋_GB2312"/>
                <w:i w:val="0"/>
                <w:iCs w:val="0"/>
                <w:color w:val="auto"/>
                <w:kern w:val="0"/>
                <w:sz w:val="21"/>
                <w:szCs w:val="21"/>
                <w:u w:val="none"/>
                <w:lang w:val="en-US" w:eastAsia="zh-CN" w:bidi="ar"/>
              </w:rPr>
              <w:t>情况良好，项目平均完成率达到40-50%</w:t>
            </w:r>
            <w:r>
              <w:rPr>
                <w:rFonts w:hint="default" w:ascii="仿宋_GB2312" w:hAnsi="仿宋_GB2312" w:eastAsia="仿宋_GB2312" w:cs="仿宋_GB2312"/>
                <w:i w:val="0"/>
                <w:iCs w:val="0"/>
                <w:color w:val="auto"/>
                <w:kern w:val="0"/>
                <w:sz w:val="21"/>
                <w:szCs w:val="21"/>
                <w:u w:val="none"/>
                <w:lang w:val="en-US" w:eastAsia="zh-Hans" w:bidi="ar"/>
              </w:rPr>
              <w:t>，</w:t>
            </w:r>
            <w:r>
              <w:rPr>
                <w:rFonts w:hint="eastAsia" w:ascii="仿宋_GB2312" w:hAnsi="仿宋_GB2312" w:eastAsia="仿宋_GB2312" w:cs="仿宋_GB2312"/>
                <w:i w:val="0"/>
                <w:iCs w:val="0"/>
                <w:color w:val="auto"/>
                <w:kern w:val="0"/>
                <w:sz w:val="21"/>
                <w:szCs w:val="21"/>
                <w:u w:val="none"/>
                <w:lang w:val="en-US" w:eastAsia="zh-CN" w:bidi="ar"/>
              </w:rPr>
              <w:t>得10分。</w:t>
            </w:r>
          </w:p>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both"/>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color w:val="auto"/>
                <w:kern w:val="0"/>
                <w:sz w:val="21"/>
                <w:szCs w:val="21"/>
                <w:u w:val="none"/>
                <w:lang w:val="en-US" w:eastAsia="zh-CN" w:bidi="ar"/>
              </w:rPr>
              <w:t>③</w:t>
            </w:r>
            <w:r>
              <w:rPr>
                <w:rFonts w:hint="eastAsia" w:ascii="仿宋_GB2312" w:hAnsi="仿宋_GB2312" w:eastAsia="仿宋_GB2312" w:cs="仿宋_GB2312"/>
                <w:i w:val="0"/>
                <w:iCs w:val="0"/>
                <w:color w:val="auto"/>
                <w:kern w:val="0"/>
                <w:sz w:val="21"/>
                <w:szCs w:val="21"/>
                <w:u w:val="none"/>
                <w:lang w:val="en-US" w:eastAsia="zh-CN" w:bidi="ar"/>
              </w:rPr>
              <w:t>产业园项目</w:t>
            </w:r>
            <w:r>
              <w:rPr>
                <w:rFonts w:hint="eastAsia" w:ascii="仿宋_GB2312" w:hAnsi="仿宋_GB2312" w:eastAsia="仿宋_GB2312" w:cs="仿宋_GB2312"/>
                <w:i w:val="0"/>
                <w:iCs w:val="0"/>
                <w:color w:val="auto"/>
                <w:kern w:val="0"/>
                <w:sz w:val="21"/>
                <w:szCs w:val="21"/>
                <w:u w:val="none"/>
                <w:lang w:val="en-US" w:eastAsia="zh-Hans" w:bidi="ar"/>
              </w:rPr>
              <w:t>建设</w:t>
            </w:r>
            <w:r>
              <w:rPr>
                <w:rFonts w:hint="eastAsia" w:ascii="仿宋_GB2312" w:hAnsi="仿宋_GB2312" w:eastAsia="仿宋_GB2312" w:cs="仿宋_GB2312"/>
                <w:i w:val="0"/>
                <w:iCs w:val="0"/>
                <w:color w:val="auto"/>
                <w:kern w:val="0"/>
                <w:sz w:val="21"/>
                <w:szCs w:val="21"/>
                <w:u w:val="none"/>
                <w:lang w:val="en-US" w:eastAsia="zh-CN" w:bidi="ar"/>
              </w:rPr>
              <w:t>情况不佳，项目平均完成率在40%以下，不得分。</w:t>
            </w:r>
          </w:p>
        </w:tc>
        <w:tc>
          <w:tcPr>
            <w:tcW w:w="4045" w:type="dxa"/>
            <w:noWrap w:val="0"/>
            <w:vAlign w:val="center"/>
          </w:tcPr>
          <w:p>
            <w:pPr>
              <w:adjustRightInd w:val="0"/>
              <w:snapToGrid w:val="0"/>
              <w:spacing w:beforeLines="0" w:afterLines="0" w:line="240" w:lineRule="auto"/>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对照填写附件3《省级现代农业产业园建设任务完成情况表》，计算出项目平均完成率。</w:t>
            </w:r>
          </w:p>
        </w:tc>
        <w:tc>
          <w:tcPr>
            <w:tcW w:w="72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left"/>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70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rPr>
          <w:trHeight w:val="2100" w:hRule="atLeast"/>
          <w:jc w:val="center"/>
        </w:trPr>
        <w:tc>
          <w:tcPr>
            <w:tcW w:w="1130" w:type="dxa"/>
            <w:vMerge w:val="continue"/>
            <w:noWrap w:val="0"/>
            <w:vAlign w:val="center"/>
          </w:tcPr>
          <w:p>
            <w:pPr>
              <w:widowControl w:val="0"/>
              <w:numPr>
                <w:ilvl w:val="0"/>
                <w:numId w:val="0"/>
              </w:numPr>
              <w:adjustRightInd w:val="0"/>
              <w:snapToGrid w:val="0"/>
              <w:spacing w:beforeLines="0" w:afterLines="0" w:line="240" w:lineRule="auto"/>
              <w:jc w:val="center"/>
              <w:textAlignment w:val="center"/>
              <w:rPr>
                <w:rFonts w:hint="eastAsia"/>
                <w:color w:val="auto"/>
                <w:sz w:val="21"/>
                <w:szCs w:val="21"/>
                <w:lang w:val="en-US" w:eastAsia="zh-CN"/>
              </w:rPr>
            </w:pPr>
          </w:p>
        </w:tc>
        <w:tc>
          <w:tcPr>
            <w:tcW w:w="126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基础设施配套情况</w:t>
            </w:r>
          </w:p>
        </w:tc>
        <w:tc>
          <w:tcPr>
            <w:tcW w:w="67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5</w:t>
            </w:r>
          </w:p>
        </w:tc>
        <w:tc>
          <w:tcPr>
            <w:tcW w:w="481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both"/>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①</w:t>
            </w:r>
            <w:r>
              <w:rPr>
                <w:rFonts w:hint="eastAsia" w:ascii="仿宋_GB2312" w:hAnsi="仿宋_GB2312" w:eastAsia="仿宋_GB2312" w:cs="仿宋_GB2312"/>
                <w:color w:val="auto"/>
                <w:kern w:val="0"/>
                <w:sz w:val="21"/>
                <w:szCs w:val="21"/>
                <w:lang w:bidi="ar"/>
              </w:rPr>
              <w:t>水、电、路、网络、通讯等基础设施比较完备</w:t>
            </w:r>
            <w:r>
              <w:rPr>
                <w:rFonts w:hint="eastAsia" w:ascii="仿宋_GB2312" w:hAnsi="仿宋_GB2312" w:eastAsia="仿宋_GB2312" w:cs="仿宋_GB2312"/>
                <w:color w:val="auto"/>
                <w:kern w:val="0"/>
                <w:sz w:val="21"/>
                <w:szCs w:val="21"/>
                <w:lang w:eastAsia="zh-CN" w:bidi="ar"/>
              </w:rPr>
              <w:t>，达到项目开工条件的，得</w:t>
            </w:r>
            <w:r>
              <w:rPr>
                <w:rFonts w:hint="eastAsia" w:ascii="仿宋_GB2312" w:hAnsi="仿宋_GB2312" w:eastAsia="仿宋_GB2312" w:cs="仿宋_GB2312"/>
                <w:color w:val="auto"/>
                <w:kern w:val="0"/>
                <w:sz w:val="21"/>
                <w:szCs w:val="21"/>
                <w:lang w:val="en-US" w:eastAsia="zh-CN" w:bidi="ar"/>
              </w:rPr>
              <w:t>5分。</w:t>
            </w:r>
          </w:p>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both"/>
              <w:textAlignment w:val="center"/>
              <w:rPr>
                <w:rFonts w:hint="eastAsia" w:ascii="仿宋_GB2312" w:hAnsi="仿宋_GB2312" w:eastAsia="仿宋_GB2312" w:cs="仿宋_GB2312"/>
                <w:color w:val="auto"/>
                <w:kern w:val="0"/>
                <w:sz w:val="21"/>
                <w:szCs w:val="21"/>
                <w:u w:val="none"/>
                <w:lang w:val="en-US" w:eastAsia="zh-CN" w:bidi="ar"/>
              </w:rPr>
            </w:pPr>
            <w:r>
              <w:rPr>
                <w:rFonts w:hint="eastAsia" w:ascii="仿宋_GB2312" w:hAnsi="仿宋_GB2312" w:eastAsia="仿宋_GB2312" w:cs="仿宋_GB2312"/>
                <w:color w:val="auto"/>
                <w:kern w:val="0"/>
                <w:sz w:val="21"/>
                <w:szCs w:val="21"/>
                <w:lang w:val="en-US" w:eastAsia="zh-CN" w:bidi="ar"/>
              </w:rPr>
              <w:t>②</w:t>
            </w:r>
            <w:r>
              <w:rPr>
                <w:rFonts w:hint="eastAsia" w:ascii="仿宋_GB2312" w:hAnsi="仿宋_GB2312" w:eastAsia="仿宋_GB2312" w:cs="仿宋_GB2312"/>
                <w:color w:val="auto"/>
                <w:kern w:val="0"/>
                <w:sz w:val="21"/>
                <w:szCs w:val="21"/>
                <w:u w:val="none"/>
                <w:lang w:bidi="ar"/>
              </w:rPr>
              <w:t>水、电、路、网络、通讯等基础设施</w:t>
            </w:r>
            <w:r>
              <w:rPr>
                <w:rFonts w:hint="eastAsia" w:ascii="仿宋_GB2312" w:hAnsi="仿宋_GB2312" w:eastAsia="仿宋_GB2312" w:cs="仿宋_GB2312"/>
                <w:color w:val="auto"/>
                <w:kern w:val="0"/>
                <w:sz w:val="21"/>
                <w:szCs w:val="21"/>
                <w:u w:val="none"/>
                <w:lang w:eastAsia="zh-CN" w:bidi="ar"/>
              </w:rPr>
              <w:t>仍处于配套过程中的，得</w:t>
            </w:r>
            <w:r>
              <w:rPr>
                <w:rFonts w:hint="eastAsia" w:ascii="仿宋_GB2312" w:hAnsi="仿宋_GB2312" w:eastAsia="仿宋_GB2312" w:cs="仿宋_GB2312"/>
                <w:color w:val="auto"/>
                <w:kern w:val="0"/>
                <w:sz w:val="21"/>
                <w:szCs w:val="21"/>
                <w:u w:val="none"/>
                <w:lang w:val="en-US" w:eastAsia="zh-CN" w:bidi="ar"/>
              </w:rPr>
              <w:t>3分。</w:t>
            </w:r>
          </w:p>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both"/>
              <w:textAlignment w:val="center"/>
              <w:rPr>
                <w:rFonts w:hint="default"/>
                <w:sz w:val="21"/>
                <w:szCs w:val="21"/>
                <w:lang w:val="en-US" w:eastAsia="zh-CN"/>
              </w:rPr>
            </w:pPr>
            <w:r>
              <w:rPr>
                <w:rFonts w:hint="eastAsia" w:ascii="仿宋_GB2312" w:hAnsi="仿宋_GB2312" w:eastAsia="仿宋_GB2312" w:cs="仿宋_GB2312"/>
                <w:color w:val="auto"/>
                <w:kern w:val="0"/>
                <w:sz w:val="21"/>
                <w:szCs w:val="21"/>
                <w:u w:val="none"/>
                <w:lang w:val="en-US" w:eastAsia="zh-CN" w:bidi="ar"/>
              </w:rPr>
              <w:t>③不具备</w:t>
            </w:r>
            <w:r>
              <w:rPr>
                <w:rFonts w:hint="eastAsia" w:ascii="仿宋_GB2312" w:hAnsi="仿宋_GB2312" w:eastAsia="仿宋_GB2312" w:cs="仿宋_GB2312"/>
                <w:color w:val="auto"/>
                <w:kern w:val="0"/>
                <w:sz w:val="21"/>
                <w:szCs w:val="21"/>
                <w:u w:val="none"/>
                <w:lang w:bidi="ar"/>
              </w:rPr>
              <w:t>水、电、路、网络、通讯等基础设施</w:t>
            </w:r>
            <w:r>
              <w:rPr>
                <w:rFonts w:hint="eastAsia" w:ascii="仿宋_GB2312" w:hAnsi="仿宋_GB2312" w:eastAsia="仿宋_GB2312" w:cs="仿宋_GB2312"/>
                <w:color w:val="auto"/>
                <w:kern w:val="0"/>
                <w:sz w:val="21"/>
                <w:szCs w:val="21"/>
                <w:u w:val="none"/>
                <w:lang w:eastAsia="zh-CN" w:bidi="ar"/>
              </w:rPr>
              <w:t>配套的，不得分。</w:t>
            </w:r>
          </w:p>
        </w:tc>
        <w:tc>
          <w:tcPr>
            <w:tcW w:w="4045" w:type="dxa"/>
            <w:noWrap w:val="0"/>
            <w:vAlign w:val="center"/>
          </w:tcPr>
          <w:p>
            <w:pPr>
              <w:keepNext w:val="0"/>
              <w:keepLines w:val="0"/>
              <w:adjustRightInd w:val="0"/>
              <w:snapToGrid w:val="0"/>
              <w:spacing w:beforeLines="0" w:afterLines="0" w:line="240" w:lineRule="auto"/>
              <w:textAlignment w:val="center"/>
              <w:rPr>
                <w:rFonts w:hint="default"/>
                <w:sz w:val="21"/>
                <w:szCs w:val="21"/>
                <w:lang w:val="en-US" w:eastAsia="zh-CN"/>
              </w:rPr>
            </w:pPr>
            <w:r>
              <w:rPr>
                <w:rFonts w:hint="eastAsia" w:ascii="仿宋_GB2312" w:hAnsi="仿宋_GB2312" w:eastAsia="仿宋_GB2312" w:cs="仿宋_GB2312"/>
                <w:color w:val="auto"/>
                <w:kern w:val="0"/>
                <w:sz w:val="21"/>
                <w:szCs w:val="21"/>
                <w:lang w:val="en-US" w:eastAsia="zh-CN" w:bidi="ar"/>
              </w:rPr>
              <w:t>反映责任主体对产业园项目的基础设施配套程度。</w:t>
            </w:r>
          </w:p>
        </w:tc>
        <w:tc>
          <w:tcPr>
            <w:tcW w:w="72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left"/>
              <w:textAlignment w:val="auto"/>
              <w:rPr>
                <w:rFonts w:hint="default"/>
                <w:sz w:val="21"/>
                <w:szCs w:val="21"/>
                <w:lang w:val="en-US" w:eastAsia="zh-CN"/>
              </w:rPr>
            </w:pPr>
          </w:p>
        </w:tc>
        <w:tc>
          <w:tcPr>
            <w:tcW w:w="70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rPr>
          <w:trHeight w:val="1092" w:hRule="atLeast"/>
          <w:jc w:val="center"/>
        </w:trPr>
        <w:tc>
          <w:tcPr>
            <w:tcW w:w="1130" w:type="dxa"/>
            <w:vMerge w:val="continue"/>
            <w:noWrap w:val="0"/>
            <w:vAlign w:val="center"/>
          </w:tcPr>
          <w:p>
            <w:pPr>
              <w:widowControl w:val="0"/>
              <w:numPr>
                <w:ilvl w:val="0"/>
                <w:numId w:val="0"/>
              </w:numPr>
              <w:adjustRightInd w:val="0"/>
              <w:snapToGrid w:val="0"/>
              <w:spacing w:beforeLines="0" w:afterLines="0" w:line="240" w:lineRule="auto"/>
              <w:jc w:val="center"/>
              <w:textAlignment w:val="center"/>
              <w:rPr>
                <w:rFonts w:hint="eastAsia"/>
                <w:color w:val="auto"/>
                <w:sz w:val="21"/>
                <w:szCs w:val="21"/>
                <w:lang w:val="en-US" w:eastAsia="zh-CN"/>
              </w:rPr>
            </w:pPr>
          </w:p>
        </w:tc>
        <w:tc>
          <w:tcPr>
            <w:tcW w:w="126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产业园体现“现代”特征情况</w:t>
            </w:r>
          </w:p>
        </w:tc>
        <w:tc>
          <w:tcPr>
            <w:tcW w:w="67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5</w:t>
            </w:r>
          </w:p>
        </w:tc>
        <w:tc>
          <w:tcPr>
            <w:tcW w:w="481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both"/>
              <w:textAlignment w:val="center"/>
              <w:rPr>
                <w:rFonts w:hint="eastAsia" w:ascii="仿宋_GB2312" w:hAnsi="仿宋_GB2312" w:eastAsia="仿宋_GB2312" w:cs="仿宋_GB2312"/>
                <w:color w:val="auto"/>
                <w:kern w:val="0"/>
                <w:sz w:val="21"/>
                <w:szCs w:val="21"/>
                <w:u w:val="none"/>
                <w:lang w:val="en-US" w:eastAsia="zh-CN" w:bidi="ar"/>
              </w:rPr>
            </w:pPr>
            <w:r>
              <w:rPr>
                <w:rFonts w:hint="eastAsia" w:ascii="仿宋_GB2312" w:hAnsi="仿宋_GB2312" w:eastAsia="仿宋_GB2312" w:cs="仿宋_GB2312"/>
                <w:color w:val="auto"/>
                <w:kern w:val="0"/>
                <w:sz w:val="21"/>
                <w:szCs w:val="21"/>
                <w:u w:val="none"/>
                <w:lang w:val="en-US" w:eastAsia="zh-CN" w:bidi="ar"/>
              </w:rPr>
              <w:t>①</w:t>
            </w:r>
            <w:r>
              <w:rPr>
                <w:rFonts w:hint="eastAsia" w:ascii="仿宋_GB2312" w:hAnsi="仿宋_GB2312" w:eastAsia="仿宋_GB2312" w:cs="仿宋_GB2312"/>
                <w:snapToGrid w:val="0"/>
                <w:color w:val="auto"/>
                <w:spacing w:val="-6"/>
                <w:kern w:val="0"/>
                <w:sz w:val="21"/>
                <w:szCs w:val="21"/>
                <w:u w:val="none"/>
                <w:lang w:val="en-US" w:eastAsia="zh-CN" w:bidi="ar"/>
              </w:rPr>
              <w:t>产业园全产业链各环节“现代”特征显著，得5分。</w:t>
            </w:r>
          </w:p>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both"/>
              <w:textAlignment w:val="center"/>
              <w:rPr>
                <w:rFonts w:hint="default" w:ascii="仿宋_GB2312" w:hAnsi="仿宋_GB2312" w:eastAsia="仿宋_GB2312" w:cs="仿宋_GB2312"/>
                <w:color w:val="auto"/>
                <w:kern w:val="0"/>
                <w:sz w:val="21"/>
                <w:szCs w:val="21"/>
                <w:u w:val="none"/>
                <w:lang w:val="en-US" w:eastAsia="zh-CN" w:bidi="ar"/>
              </w:rPr>
            </w:pPr>
            <w:r>
              <w:rPr>
                <w:rFonts w:hint="eastAsia" w:ascii="仿宋_GB2312" w:hAnsi="仿宋_GB2312" w:eastAsia="仿宋_GB2312" w:cs="仿宋_GB2312"/>
                <w:color w:val="auto"/>
                <w:kern w:val="0"/>
                <w:sz w:val="21"/>
                <w:szCs w:val="21"/>
                <w:u w:val="none"/>
                <w:lang w:val="en-US" w:eastAsia="zh-CN" w:bidi="ar"/>
              </w:rPr>
              <w:t>②产业园产业链只是某个环节“现代”特征明显，酌情扣分，直至扣完。</w:t>
            </w:r>
          </w:p>
        </w:tc>
        <w:tc>
          <w:tcPr>
            <w:tcW w:w="4045" w:type="dxa"/>
            <w:noWrap w:val="0"/>
            <w:vAlign w:val="center"/>
          </w:tcPr>
          <w:p>
            <w:pPr>
              <w:keepNext w:val="0"/>
              <w:keepLines w:val="0"/>
              <w:adjustRightInd w:val="0"/>
              <w:snapToGrid w:val="0"/>
              <w:spacing w:beforeLines="0" w:afterLines="0" w:line="240" w:lineRule="auto"/>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产业园“现代”特征是指产业园建设过程中，全产业链各环节要体现“现代”特征。如生产设施和装备先进、生产技术先进、数字化智能化等特征。</w:t>
            </w:r>
          </w:p>
        </w:tc>
        <w:tc>
          <w:tcPr>
            <w:tcW w:w="72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left"/>
              <w:textAlignment w:val="auto"/>
              <w:rPr>
                <w:rFonts w:hint="eastAsia" w:ascii="仿宋_GB2312" w:hAnsi="仿宋_GB2312" w:eastAsia="仿宋_GB2312" w:cs="仿宋_GB2312"/>
                <w:i w:val="0"/>
                <w:iCs w:val="0"/>
                <w:color w:val="auto"/>
                <w:kern w:val="0"/>
                <w:sz w:val="21"/>
                <w:szCs w:val="21"/>
                <w:u w:val="none"/>
                <w:lang w:val="en-US" w:eastAsia="zh-CN" w:bidi="ar"/>
              </w:rPr>
            </w:pPr>
          </w:p>
        </w:tc>
        <w:tc>
          <w:tcPr>
            <w:tcW w:w="70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rPr>
          <w:trHeight w:val="2088" w:hRule="atLeast"/>
          <w:jc w:val="center"/>
        </w:trPr>
        <w:tc>
          <w:tcPr>
            <w:tcW w:w="113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126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年度绩效目标完成情况</w:t>
            </w:r>
          </w:p>
        </w:tc>
        <w:tc>
          <w:tcPr>
            <w:tcW w:w="67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5</w:t>
            </w:r>
          </w:p>
        </w:tc>
        <w:tc>
          <w:tcPr>
            <w:tcW w:w="481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跨县集群产业园和特色产业园：</w:t>
            </w:r>
          </w:p>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both"/>
              <w:textAlignment w:val="center"/>
              <w:rPr>
                <w:rFonts w:hint="default" w:ascii="仿宋_GB2312" w:hAnsi="仿宋_GB2312" w:eastAsia="仿宋_GB2312" w:cs="仿宋_GB2312"/>
                <w:i w:val="0"/>
                <w:iCs w:val="0"/>
                <w:color w:val="auto"/>
                <w:kern w:val="0"/>
                <w:sz w:val="21"/>
                <w:szCs w:val="21"/>
                <w:u w:val="none"/>
                <w:lang w:val="en-US" w:eastAsia="zh-Hans" w:bidi="ar"/>
              </w:rPr>
            </w:pPr>
            <w:r>
              <w:rPr>
                <w:rFonts w:hint="default" w:ascii="仿宋_GB2312" w:hAnsi="仿宋_GB2312" w:eastAsia="仿宋_GB2312" w:cs="仿宋_GB2312"/>
                <w:i w:val="0"/>
                <w:iCs w:val="0"/>
                <w:color w:val="auto"/>
                <w:kern w:val="0"/>
                <w:sz w:val="21"/>
                <w:szCs w:val="21"/>
                <w:u w:val="none"/>
                <w:lang w:val="en-US" w:eastAsia="zh-CN" w:bidi="ar"/>
              </w:rPr>
              <w:t>①</w:t>
            </w:r>
            <w:r>
              <w:rPr>
                <w:rFonts w:hint="eastAsia" w:ascii="仿宋_GB2312" w:hAnsi="仿宋_GB2312" w:eastAsia="仿宋_GB2312" w:cs="仿宋_GB2312"/>
                <w:i w:val="0"/>
                <w:iCs w:val="0"/>
                <w:color w:val="auto"/>
                <w:kern w:val="0"/>
                <w:sz w:val="21"/>
                <w:szCs w:val="21"/>
                <w:u w:val="none"/>
                <w:lang w:val="en-US" w:eastAsia="zh-CN" w:bidi="ar"/>
              </w:rPr>
              <w:t>各项指标达到申报方案规模的年度目标值，同时不低于工作方案中对应产值绩效要求的50%，得5分。</w:t>
            </w:r>
          </w:p>
          <w:p>
            <w:pPr>
              <w:widowControl w:val="0"/>
              <w:adjustRightInd w:val="0"/>
              <w:snapToGrid w:val="0"/>
              <w:spacing w:beforeLines="0" w:afterLines="0" w:line="240" w:lineRule="auto"/>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②各项指标未能达到申报方案规模的年度目标值的或低于工作方案中对应产值绩效要求的50%，不得分。</w:t>
            </w:r>
          </w:p>
          <w:p>
            <w:pPr>
              <w:widowControl w:val="0"/>
              <w:adjustRightInd w:val="0"/>
              <w:snapToGrid w:val="0"/>
              <w:spacing w:beforeLines="0" w:afterLines="0" w:line="240" w:lineRule="auto"/>
              <w:jc w:val="both"/>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r>
              <w:rPr>
                <w:rFonts w:hint="eastAsia" w:ascii="仿宋_GB2312" w:hAnsi="仿宋_GB2312" w:eastAsia="仿宋_GB2312" w:cs="仿宋_GB2312"/>
                <w:b w:val="0"/>
                <w:bCs w:val="0"/>
                <w:i w:val="0"/>
                <w:iCs w:val="0"/>
                <w:color w:val="auto"/>
                <w:kern w:val="0"/>
                <w:sz w:val="21"/>
                <w:szCs w:val="21"/>
                <w:u w:val="none"/>
                <w:lang w:val="en-US" w:eastAsia="zh-CN" w:bidi="ar"/>
              </w:rPr>
              <w:t>功能性产业园：</w:t>
            </w:r>
          </w:p>
          <w:p>
            <w:pPr>
              <w:widowControl w:val="0"/>
              <w:adjustRightInd w:val="0"/>
              <w:snapToGrid w:val="0"/>
              <w:spacing w:beforeLines="0" w:afterLines="0" w:line="240" w:lineRule="auto"/>
              <w:jc w:val="both"/>
              <w:textAlignment w:val="center"/>
              <w:rPr>
                <w:rFonts w:hint="eastAsia" w:ascii="仿宋_GB2312" w:hAnsi="仿宋_GB2312" w:eastAsia="仿宋_GB2312" w:cs="仿宋_GB2312"/>
                <w:b w:val="0"/>
                <w:b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①</w:t>
            </w:r>
            <w:r>
              <w:rPr>
                <w:rFonts w:hint="eastAsia" w:ascii="仿宋_GB2312" w:hAnsi="仿宋_GB2312" w:eastAsia="仿宋_GB2312" w:cs="仿宋_GB2312"/>
                <w:b w:val="0"/>
                <w:bCs w:val="0"/>
                <w:color w:val="auto"/>
                <w:kern w:val="0"/>
                <w:sz w:val="21"/>
                <w:szCs w:val="21"/>
                <w:u w:val="none"/>
                <w:lang w:bidi="ar"/>
              </w:rPr>
              <w:t>从提供服务的效率维度，综合评价为省内省级现代农业产业园提供各项服务情况。</w:t>
            </w:r>
            <w:r>
              <w:rPr>
                <w:rFonts w:hint="eastAsia" w:ascii="仿宋_GB2312" w:hAnsi="仿宋_GB2312" w:eastAsia="仿宋_GB2312" w:cs="仿宋_GB2312"/>
                <w:b w:val="0"/>
                <w:bCs w:val="0"/>
                <w:color w:val="auto"/>
                <w:kern w:val="0"/>
                <w:sz w:val="21"/>
                <w:szCs w:val="21"/>
                <w:u w:val="none"/>
                <w:lang w:eastAsia="zh-CN" w:bidi="ar"/>
              </w:rPr>
              <w:t>服务覆盖率</w:t>
            </w:r>
            <w:r>
              <w:rPr>
                <w:rFonts w:hint="default" w:ascii="Arial" w:hAnsi="Arial" w:eastAsia="仿宋_GB2312" w:cs="Arial"/>
                <w:b w:val="0"/>
                <w:bCs w:val="0"/>
                <w:color w:val="auto"/>
                <w:kern w:val="0"/>
                <w:sz w:val="21"/>
                <w:szCs w:val="21"/>
                <w:u w:val="none"/>
                <w:lang w:eastAsia="zh-CN" w:bidi="ar"/>
              </w:rPr>
              <w:t>≧</w:t>
            </w:r>
            <w:r>
              <w:rPr>
                <w:rFonts w:hint="eastAsia" w:ascii="仿宋_GB2312" w:hAnsi="仿宋_GB2312" w:eastAsia="仿宋_GB2312" w:cs="仿宋_GB2312"/>
                <w:b w:val="0"/>
                <w:bCs w:val="0"/>
                <w:color w:val="auto"/>
                <w:kern w:val="0"/>
                <w:sz w:val="21"/>
                <w:szCs w:val="21"/>
                <w:u w:val="none"/>
                <w:lang w:val="en-US" w:eastAsia="zh-CN" w:bidi="ar"/>
              </w:rPr>
              <w:t>50%的得3分，覆盖率在35%-50%之间的酌情扣分，覆盖率在35%以下的不得分。</w:t>
            </w:r>
          </w:p>
          <w:p>
            <w:pPr>
              <w:widowControl w:val="0"/>
              <w:adjustRightInd w:val="0"/>
              <w:snapToGrid w:val="0"/>
              <w:spacing w:beforeLines="0" w:afterLines="0" w:line="240" w:lineRule="auto"/>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②</w:t>
            </w:r>
            <w:r>
              <w:rPr>
                <w:rFonts w:hint="eastAsia" w:ascii="仿宋_GB2312" w:hAnsi="仿宋_GB2312" w:eastAsia="仿宋_GB2312" w:cs="仿宋_GB2312"/>
                <w:b w:val="0"/>
                <w:bCs w:val="0"/>
                <w:color w:val="auto"/>
                <w:kern w:val="0"/>
                <w:sz w:val="21"/>
                <w:szCs w:val="21"/>
                <w:u w:val="none"/>
                <w:lang w:val="en-US" w:eastAsia="zh-CN" w:bidi="ar"/>
              </w:rPr>
              <w:t>产业园实施主体经营收入与创建前相比得到提高的，得2分；经营收入与创建前相比未提高的，不得分。经营收入指产业园内各实施主体，经会计师事务所出具的年度审计报告，年度经营收入数据总和。</w:t>
            </w:r>
          </w:p>
        </w:tc>
        <w:tc>
          <w:tcPr>
            <w:tcW w:w="4045" w:type="dxa"/>
            <w:noWrap w:val="0"/>
            <w:vAlign w:val="center"/>
          </w:tcPr>
          <w:p>
            <w:pPr>
              <w:keepNext w:val="0"/>
              <w:keepLines w:val="0"/>
              <w:widowControl w:val="0"/>
              <w:adjustRightInd w:val="0"/>
              <w:snapToGrid w:val="0"/>
              <w:spacing w:beforeLines="0" w:afterLines="0" w:line="240" w:lineRule="auto"/>
              <w:jc w:val="both"/>
              <w:textAlignment w:val="center"/>
              <w:rPr>
                <w:rFonts w:hint="eastAsia" w:ascii="仿宋_GB2312" w:hAnsi="仿宋_GB2312" w:eastAsia="仿宋_GB2312" w:cs="仿宋_GB2312"/>
                <w:color w:val="auto"/>
                <w:kern w:val="0"/>
                <w:sz w:val="19"/>
                <w:szCs w:val="19"/>
                <w:lang w:val="en-US" w:eastAsia="zh-CN" w:bidi="ar"/>
              </w:rPr>
            </w:pPr>
            <w:r>
              <w:rPr>
                <w:rFonts w:hint="eastAsia" w:ascii="仿宋_GB2312" w:hAnsi="仿宋_GB2312" w:eastAsia="仿宋_GB2312" w:cs="仿宋_GB2312"/>
                <w:color w:val="auto"/>
                <w:kern w:val="0"/>
                <w:sz w:val="19"/>
                <w:szCs w:val="19"/>
                <w:lang w:val="en-US" w:eastAsia="zh-CN" w:bidi="ar"/>
              </w:rPr>
              <w:t>反映产业园建设过程中绩效目标实现情况。对照责任主体送我厅备案的资金使用方案中绩效目标的设置。</w:t>
            </w:r>
          </w:p>
          <w:p>
            <w:pPr>
              <w:keepNext w:val="0"/>
              <w:keepLines w:val="0"/>
              <w:widowControl w:val="0"/>
              <w:adjustRightInd w:val="0"/>
              <w:snapToGrid w:val="0"/>
              <w:spacing w:beforeLines="0" w:afterLines="0" w:line="240" w:lineRule="auto"/>
              <w:ind w:firstLine="0" w:firstLineChars="0"/>
              <w:jc w:val="both"/>
              <w:textAlignment w:val="center"/>
              <w:rPr>
                <w:rFonts w:hint="eastAsia" w:ascii="仿宋_GB2312" w:hAnsi="仿宋_GB2312" w:eastAsia="仿宋_GB2312" w:cs="仿宋_GB2312"/>
                <w:color w:val="auto"/>
                <w:kern w:val="0"/>
                <w:sz w:val="19"/>
                <w:szCs w:val="19"/>
                <w:lang w:eastAsia="zh-CN" w:bidi="ar"/>
              </w:rPr>
            </w:pPr>
            <w:r>
              <w:rPr>
                <w:rFonts w:hint="eastAsia" w:ascii="仿宋_GB2312" w:hAnsi="仿宋_GB2312" w:eastAsia="仿宋_GB2312" w:cs="仿宋_GB2312"/>
                <w:color w:val="auto"/>
                <w:kern w:val="0"/>
                <w:sz w:val="19"/>
                <w:szCs w:val="19"/>
                <w:lang w:val="en-US" w:eastAsia="zh-CN" w:bidi="ar"/>
              </w:rPr>
              <w:t>工作方案中对应绩效要求为：</w:t>
            </w:r>
            <w:r>
              <w:rPr>
                <w:rFonts w:hint="eastAsia" w:ascii="仿宋_GB2312" w:hAnsi="仿宋_GB2312" w:eastAsia="仿宋_GB2312" w:cs="仿宋_GB2312"/>
                <w:color w:val="auto"/>
                <w:kern w:val="0"/>
                <w:sz w:val="19"/>
                <w:szCs w:val="19"/>
                <w:lang w:bidi="ar"/>
              </w:rPr>
              <w:t>跨县集群产业园主导产业优势明显，基本形成优势产业带，种植业、养殖业类主导产业综合产值分别达到20亿元、40亿元以上，冷链物流类主导产业综合产值增长10%以上；特色产业园主导产业集中度高、精深度高和聚集度高，种植业、养殖业</w:t>
            </w:r>
            <w:r>
              <w:rPr>
                <w:rFonts w:hint="eastAsia" w:ascii="仿宋_GB2312" w:hAnsi="仿宋_GB2312" w:eastAsia="仿宋_GB2312" w:cs="仿宋_GB2312"/>
                <w:color w:val="auto"/>
                <w:kern w:val="0"/>
                <w:sz w:val="19"/>
                <w:szCs w:val="19"/>
                <w:lang w:eastAsia="zh-CN" w:bidi="ar"/>
              </w:rPr>
              <w:t>、预制菜</w:t>
            </w:r>
            <w:r>
              <w:rPr>
                <w:rFonts w:hint="eastAsia" w:ascii="仿宋_GB2312" w:hAnsi="仿宋_GB2312" w:eastAsia="仿宋_GB2312" w:cs="仿宋_GB2312"/>
                <w:color w:val="auto"/>
                <w:kern w:val="0"/>
                <w:sz w:val="19"/>
                <w:szCs w:val="19"/>
                <w:lang w:bidi="ar"/>
              </w:rPr>
              <w:t>类主导产业综合产值分别达到10亿元、20亿元</w:t>
            </w:r>
            <w:r>
              <w:rPr>
                <w:rFonts w:hint="eastAsia" w:ascii="仿宋_GB2312" w:hAnsi="仿宋_GB2312" w:eastAsia="仿宋_GB2312" w:cs="仿宋_GB2312"/>
                <w:color w:val="auto"/>
                <w:kern w:val="0"/>
                <w:sz w:val="19"/>
                <w:szCs w:val="19"/>
                <w:lang w:eastAsia="zh-CN" w:bidi="ar"/>
              </w:rPr>
              <w:t>、</w:t>
            </w:r>
            <w:r>
              <w:rPr>
                <w:rFonts w:hint="eastAsia" w:ascii="仿宋_GB2312" w:hAnsi="仿宋_GB2312" w:eastAsia="仿宋_GB2312" w:cs="仿宋_GB2312"/>
                <w:color w:val="auto"/>
                <w:kern w:val="0"/>
                <w:sz w:val="19"/>
                <w:szCs w:val="19"/>
                <w:lang w:val="en-US" w:eastAsia="zh-CN" w:bidi="ar"/>
              </w:rPr>
              <w:t>30亿元</w:t>
            </w:r>
            <w:r>
              <w:rPr>
                <w:rFonts w:hint="eastAsia" w:ascii="仿宋_GB2312" w:hAnsi="仿宋_GB2312" w:eastAsia="仿宋_GB2312" w:cs="仿宋_GB2312"/>
                <w:color w:val="auto"/>
                <w:kern w:val="0"/>
                <w:sz w:val="19"/>
                <w:szCs w:val="19"/>
                <w:lang w:bidi="ar"/>
              </w:rPr>
              <w:t>以上。</w:t>
            </w:r>
          </w:p>
          <w:p>
            <w:pPr>
              <w:keepNext w:val="0"/>
              <w:keepLines w:val="0"/>
              <w:widowControl w:val="0"/>
              <w:adjustRightInd w:val="0"/>
              <w:snapToGrid w:val="0"/>
              <w:spacing w:beforeLines="0" w:afterLines="0" w:line="240" w:lineRule="auto"/>
              <w:jc w:val="both"/>
              <w:textAlignment w:val="center"/>
              <w:rPr>
                <w:rFonts w:hint="eastAsia" w:ascii="仿宋_GB2312" w:hAnsi="仿宋_GB2312" w:eastAsia="仿宋_GB2312" w:cs="仿宋_GB2312"/>
                <w:color w:val="auto"/>
                <w:kern w:val="0"/>
                <w:sz w:val="19"/>
                <w:szCs w:val="19"/>
                <w:lang w:eastAsia="zh-CN" w:bidi="ar"/>
              </w:rPr>
            </w:pPr>
            <w:r>
              <w:rPr>
                <w:rFonts w:hint="eastAsia" w:ascii="仿宋_GB2312" w:hAnsi="仿宋_GB2312" w:eastAsia="仿宋_GB2312" w:cs="仿宋_GB2312"/>
                <w:color w:val="auto"/>
                <w:kern w:val="0"/>
                <w:sz w:val="19"/>
                <w:szCs w:val="19"/>
                <w:lang w:eastAsia="zh-CN" w:bidi="ar"/>
              </w:rPr>
              <w:t>功能性产业园：</w:t>
            </w:r>
          </w:p>
          <w:p>
            <w:pPr>
              <w:widowControl w:val="0"/>
              <w:adjustRightInd w:val="0"/>
              <w:snapToGrid w:val="0"/>
              <w:spacing w:beforeLines="0" w:afterLines="0" w:line="240" w:lineRule="auto"/>
              <w:ind w:firstLine="0" w:firstLineChars="0"/>
              <w:jc w:val="both"/>
              <w:textAlignment w:val="center"/>
              <w:rPr>
                <w:rFonts w:hint="eastAsia" w:ascii="仿宋_GB2312" w:hAnsi="仿宋_GB2312" w:eastAsia="仿宋_GB2312" w:cs="仿宋_GB2312"/>
                <w:color w:val="auto"/>
                <w:kern w:val="0"/>
                <w:sz w:val="19"/>
                <w:szCs w:val="19"/>
                <w:lang w:bidi="ar"/>
              </w:rPr>
            </w:pPr>
            <w:r>
              <w:rPr>
                <w:rFonts w:hint="eastAsia" w:ascii="仿宋_GB2312" w:hAnsi="仿宋_GB2312" w:eastAsia="仿宋_GB2312" w:cs="仿宋_GB2312"/>
                <w:color w:val="auto"/>
                <w:kern w:val="0"/>
                <w:sz w:val="19"/>
                <w:szCs w:val="19"/>
                <w:lang w:bidi="ar"/>
              </w:rPr>
              <w:t>服务覆盖率=已提供各项服务的省级现代农业产业园数量/符合服务领域范围内的全省省级现代农业产业园总数量。其中：</w:t>
            </w:r>
          </w:p>
          <w:p>
            <w:pPr>
              <w:widowControl w:val="0"/>
              <w:adjustRightInd w:val="0"/>
              <w:snapToGrid w:val="0"/>
              <w:spacing w:beforeLines="0" w:afterLines="0" w:line="240" w:lineRule="auto"/>
              <w:jc w:val="both"/>
              <w:textAlignment w:val="center"/>
              <w:rPr>
                <w:rFonts w:hint="eastAsia" w:ascii="仿宋_GB2312" w:hAnsi="仿宋_GB2312" w:eastAsia="仿宋_GB2312" w:cs="仿宋_GB2312"/>
                <w:color w:val="auto"/>
                <w:kern w:val="0"/>
                <w:sz w:val="19"/>
                <w:szCs w:val="19"/>
                <w:lang w:bidi="ar"/>
              </w:rPr>
            </w:pPr>
            <w:r>
              <w:rPr>
                <w:rFonts w:hint="eastAsia" w:ascii="仿宋_GB2312" w:hAnsi="仿宋_GB2312" w:eastAsia="仿宋_GB2312" w:cs="仿宋_GB2312"/>
                <w:color w:val="auto"/>
                <w:kern w:val="0"/>
                <w:sz w:val="19"/>
                <w:szCs w:val="19"/>
                <w:lang w:bidi="ar"/>
              </w:rPr>
              <w:t>（1）省级现代农业产业园统计数量，指功能性产业园建设周期内已被</w:t>
            </w:r>
            <w:r>
              <w:rPr>
                <w:rFonts w:hint="eastAsia" w:ascii="仿宋_GB2312" w:hAnsi="仿宋_GB2312" w:eastAsia="仿宋_GB2312" w:cs="仿宋_GB2312"/>
                <w:color w:val="auto"/>
                <w:kern w:val="0"/>
                <w:sz w:val="19"/>
                <w:szCs w:val="19"/>
                <w:lang w:eastAsia="zh-CN" w:bidi="ar"/>
              </w:rPr>
              <w:t>批准</w:t>
            </w:r>
            <w:r>
              <w:rPr>
                <w:rFonts w:hint="eastAsia" w:ascii="仿宋_GB2312" w:hAnsi="仿宋_GB2312" w:eastAsia="仿宋_GB2312" w:cs="仿宋_GB2312"/>
                <w:color w:val="auto"/>
                <w:kern w:val="0"/>
                <w:sz w:val="19"/>
                <w:szCs w:val="19"/>
                <w:lang w:bidi="ar"/>
              </w:rPr>
              <w:t>，且符合服务领域范围内的省级现代农业产业园。</w:t>
            </w:r>
          </w:p>
          <w:p>
            <w:pPr>
              <w:keepNext w:val="0"/>
              <w:keepLines w:val="0"/>
              <w:widowControl w:val="0"/>
              <w:adjustRightInd w:val="0"/>
              <w:snapToGrid w:val="0"/>
              <w:spacing w:beforeLines="0" w:afterLines="0" w:line="240" w:lineRule="auto"/>
              <w:jc w:val="both"/>
              <w:textAlignment w:val="center"/>
              <w:rPr>
                <w:rFonts w:hint="eastAsia" w:ascii="仿宋_GB2312" w:hAnsi="仿宋_GB2312" w:eastAsia="仿宋_GB2312" w:cs="仿宋_GB2312"/>
                <w:color w:val="auto"/>
                <w:kern w:val="0"/>
                <w:sz w:val="19"/>
                <w:szCs w:val="19"/>
                <w:lang w:bidi="ar"/>
              </w:rPr>
            </w:pPr>
            <w:r>
              <w:rPr>
                <w:rFonts w:hint="eastAsia" w:ascii="仿宋_GB2312" w:hAnsi="仿宋_GB2312" w:eastAsia="仿宋_GB2312" w:cs="仿宋_GB2312"/>
                <w:color w:val="auto"/>
                <w:kern w:val="0"/>
                <w:sz w:val="19"/>
                <w:szCs w:val="19"/>
                <w:lang w:bidi="ar"/>
              </w:rPr>
              <w:t>（2）已提供各项服务是指：功能性产业园围绕主要服务功能，与省级现代农业产业园签订服务合同，约定服务品类、服务方式、服务频率等要素，并且已按合同约定实际履行各项义务。如合同未明确约定服务品类、服务方式、服务频率等要素，不予统计在“已提供各项服务的省级现代农业产业园数量”内。</w:t>
            </w:r>
          </w:p>
          <w:p>
            <w:pPr>
              <w:adjustRightInd w:val="0"/>
              <w:snapToGrid w:val="0"/>
              <w:spacing w:beforeLines="0" w:afterLines="0" w:line="240" w:lineRule="auto"/>
              <w:ind w:firstLine="0" w:firstLineChars="0"/>
              <w:textAlignment w:val="center"/>
              <w:rPr>
                <w:rFonts w:hint="eastAsia"/>
                <w:lang w:val="en-US" w:eastAsia="zh-CN"/>
              </w:rPr>
            </w:pPr>
            <w:r>
              <w:rPr>
                <w:rFonts w:hint="eastAsia" w:ascii="仿宋_GB2312" w:hAnsi="仿宋_GB2312" w:eastAsia="仿宋_GB2312" w:cs="仿宋_GB2312"/>
                <w:color w:val="auto"/>
                <w:kern w:val="0"/>
                <w:sz w:val="19"/>
                <w:szCs w:val="19"/>
                <w:lang w:val="en-US" w:eastAsia="zh-CN" w:bidi="ar"/>
              </w:rPr>
              <w:t>产业园经营收入：指产业园内各实施主体，经会计师事务所出具的年度审计报告，年度经营收入数据总和。</w:t>
            </w:r>
          </w:p>
        </w:tc>
        <w:tc>
          <w:tcPr>
            <w:tcW w:w="72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both"/>
              <w:textAlignment w:val="center"/>
              <w:rPr>
                <w:rFonts w:hint="eastAsia" w:ascii="仿宋_GB2312" w:hAnsi="仿宋_GB2312" w:eastAsia="仿宋_GB2312" w:cs="仿宋_GB2312"/>
                <w:color w:val="auto"/>
                <w:kern w:val="0"/>
                <w:sz w:val="21"/>
                <w:szCs w:val="21"/>
                <w:u w:val="none"/>
                <w:lang w:val="en-US" w:eastAsia="zh-CN" w:bidi="ar"/>
              </w:rPr>
            </w:pPr>
          </w:p>
        </w:tc>
        <w:tc>
          <w:tcPr>
            <w:tcW w:w="707" w:type="dxa"/>
            <w:noWrap w:val="0"/>
            <w:vAlign w:val="center"/>
          </w:tcPr>
          <w:p>
            <w:pPr>
              <w:widowControl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rPr>
          <w:trHeight w:val="3708" w:hRule="atLeast"/>
          <w:jc w:val="center"/>
        </w:trPr>
        <w:tc>
          <w:tcPr>
            <w:tcW w:w="113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126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落实建设用地数量</w:t>
            </w:r>
          </w:p>
        </w:tc>
        <w:tc>
          <w:tcPr>
            <w:tcW w:w="67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5</w:t>
            </w:r>
          </w:p>
        </w:tc>
        <w:tc>
          <w:tcPr>
            <w:tcW w:w="481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left"/>
              <w:textAlignment w:val="auto"/>
              <w:rPr>
                <w:rFonts w:hint="eastAsia" w:ascii="仿宋_GB2312" w:hAnsi="仿宋_GB2312" w:eastAsia="仿宋_GB2312" w:cs="仿宋_GB2312"/>
                <w:color w:val="auto"/>
                <w:kern w:val="0"/>
                <w:sz w:val="21"/>
                <w:szCs w:val="21"/>
                <w:u w:val="none"/>
                <w:lang w:val="en-US" w:eastAsia="zh-CN" w:bidi="ar"/>
              </w:rPr>
            </w:pPr>
            <w:r>
              <w:rPr>
                <w:rFonts w:hint="eastAsia" w:ascii="仿宋_GB2312" w:hAnsi="仿宋_GB2312" w:eastAsia="仿宋_GB2312" w:cs="仿宋_GB2312"/>
                <w:color w:val="auto"/>
                <w:kern w:val="0"/>
                <w:sz w:val="21"/>
                <w:szCs w:val="21"/>
                <w:u w:val="none"/>
                <w:lang w:val="en-US" w:eastAsia="zh-CN" w:bidi="ar"/>
              </w:rPr>
              <w:t>特色产业园和跨县集群产业园：</w:t>
            </w:r>
          </w:p>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left"/>
              <w:textAlignment w:val="auto"/>
              <w:rPr>
                <w:rFonts w:hint="eastAsia" w:ascii="仿宋_GB2312" w:hAnsi="仿宋_GB2312" w:eastAsia="仿宋_GB2312" w:cs="仿宋_GB2312"/>
                <w:color w:val="auto"/>
                <w:kern w:val="0"/>
                <w:sz w:val="21"/>
                <w:szCs w:val="21"/>
                <w:u w:val="none"/>
                <w:lang w:val="en-US" w:eastAsia="zh-CN" w:bidi="ar"/>
              </w:rPr>
            </w:pPr>
            <w:r>
              <w:rPr>
                <w:rFonts w:hint="eastAsia" w:ascii="仿宋_GB2312" w:hAnsi="仿宋_GB2312" w:eastAsia="仿宋_GB2312" w:cs="仿宋_GB2312"/>
                <w:color w:val="auto"/>
                <w:kern w:val="0"/>
                <w:sz w:val="21"/>
                <w:szCs w:val="21"/>
                <w:u w:val="none"/>
                <w:lang w:val="en-US" w:eastAsia="zh-CN" w:bidi="ar"/>
              </w:rPr>
              <w:t>①落实不低于50亩/园标准的建设用地（预制菜产业园加工区短期规划面积200亩以上），且第一批财政资金建设的所有项目满足建设所需用地的，得5分。</w:t>
            </w:r>
          </w:p>
          <w:p>
            <w:pPr>
              <w:keepNext w:val="0"/>
              <w:keepLines w:val="0"/>
              <w:widowControl w:val="0"/>
              <w:adjustRightInd w:val="0"/>
              <w:snapToGrid w:val="0"/>
              <w:spacing w:beforeLines="0" w:afterLines="0" w:line="240" w:lineRule="auto"/>
              <w:jc w:val="left"/>
              <w:rPr>
                <w:rFonts w:hint="eastAsia"/>
                <w:sz w:val="21"/>
                <w:szCs w:val="21"/>
              </w:rPr>
            </w:pPr>
            <w:r>
              <w:rPr>
                <w:rFonts w:hint="eastAsia" w:ascii="仿宋_GB2312" w:hAnsi="仿宋_GB2312" w:eastAsia="仿宋_GB2312" w:cs="仿宋_GB2312"/>
                <w:color w:val="auto"/>
                <w:kern w:val="0"/>
                <w:sz w:val="21"/>
                <w:szCs w:val="21"/>
                <w:u w:val="none"/>
                <w:lang w:val="en-US" w:eastAsia="zh-CN" w:bidi="ar"/>
              </w:rPr>
              <w:t>②未落实上述用地的不得分，且中期评估评定为“暂不通过”。</w:t>
            </w:r>
          </w:p>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left"/>
              <w:textAlignment w:val="auto"/>
              <w:rPr>
                <w:rFonts w:hint="eastAsia" w:ascii="仿宋_GB2312" w:hAnsi="仿宋_GB2312" w:eastAsia="仿宋_GB2312" w:cs="仿宋_GB2312"/>
                <w:color w:val="auto"/>
                <w:kern w:val="0"/>
                <w:sz w:val="21"/>
                <w:szCs w:val="21"/>
                <w:u w:val="none"/>
                <w:lang w:val="en-US" w:eastAsia="zh-CN" w:bidi="ar"/>
              </w:rPr>
            </w:pPr>
            <w:r>
              <w:rPr>
                <w:rFonts w:hint="eastAsia" w:ascii="仿宋_GB2312" w:hAnsi="仿宋_GB2312" w:eastAsia="仿宋_GB2312" w:cs="仿宋_GB2312"/>
                <w:color w:val="auto"/>
                <w:kern w:val="0"/>
                <w:sz w:val="21"/>
                <w:szCs w:val="21"/>
                <w:u w:val="none"/>
                <w:lang w:val="en-US" w:eastAsia="zh-CN" w:bidi="ar"/>
              </w:rPr>
              <w:t>功能性产业园：</w:t>
            </w:r>
          </w:p>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left"/>
              <w:textAlignment w:val="auto"/>
              <w:rPr>
                <w:rFonts w:hint="eastAsia" w:ascii="仿宋_GB2312" w:hAnsi="仿宋_GB2312" w:eastAsia="仿宋_GB2312" w:cs="仿宋_GB2312"/>
                <w:color w:val="auto"/>
                <w:kern w:val="0"/>
                <w:sz w:val="21"/>
                <w:szCs w:val="21"/>
                <w:u w:val="none"/>
                <w:lang w:val="en-US" w:eastAsia="zh-CN" w:bidi="ar"/>
              </w:rPr>
            </w:pPr>
            <w:r>
              <w:rPr>
                <w:rFonts w:hint="eastAsia" w:ascii="仿宋_GB2312" w:hAnsi="仿宋_GB2312" w:eastAsia="仿宋_GB2312" w:cs="仿宋_GB2312"/>
                <w:color w:val="auto"/>
                <w:kern w:val="0"/>
                <w:sz w:val="21"/>
                <w:szCs w:val="21"/>
                <w:u w:val="none"/>
                <w:lang w:val="en-US" w:eastAsia="zh-CN" w:bidi="ar"/>
              </w:rPr>
              <w:t>①满足项目建设所需建设用地的，得5分。</w:t>
            </w:r>
          </w:p>
          <w:p>
            <w:pPr>
              <w:widowControl w:val="0"/>
              <w:adjustRightInd w:val="0"/>
              <w:snapToGrid w:val="0"/>
              <w:spacing w:beforeLines="0" w:afterLines="0" w:line="240" w:lineRule="auto"/>
              <w:jc w:val="left"/>
              <w:textAlignment w:val="auto"/>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color w:val="auto"/>
                <w:kern w:val="0"/>
                <w:sz w:val="21"/>
                <w:szCs w:val="21"/>
                <w:u w:val="none"/>
                <w:lang w:val="en-US" w:eastAsia="zh-CN" w:bidi="ar"/>
              </w:rPr>
              <w:t>②未满足项目建设所需建设用地的，不得分，且中期评估评定为“暂不通过”。</w:t>
            </w:r>
          </w:p>
        </w:tc>
        <w:tc>
          <w:tcPr>
            <w:tcW w:w="4045" w:type="dxa"/>
            <w:noWrap w:val="0"/>
            <w:vAlign w:val="center"/>
          </w:tcPr>
          <w:p>
            <w:pPr>
              <w:widowControl w:val="0"/>
              <w:adjustRightInd w:val="0"/>
              <w:snapToGrid w:val="0"/>
              <w:spacing w:beforeLines="0" w:afterLines="0" w:line="240" w:lineRule="auto"/>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反映产业园建设用地落实情况。</w:t>
            </w:r>
          </w:p>
          <w:p>
            <w:pPr>
              <w:widowControl w:val="0"/>
              <w:adjustRightInd w:val="0"/>
              <w:snapToGrid w:val="0"/>
              <w:spacing w:beforeLines="0" w:afterLines="0" w:line="240" w:lineRule="auto"/>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建设用地具体可参照广东省农业农村厅印发的《关于做好第二轮产业园建设用地保障工作的通知》的要求。</w:t>
            </w:r>
          </w:p>
          <w:p>
            <w:pPr>
              <w:keepNext w:val="0"/>
              <w:keepLines w:val="0"/>
              <w:widowControl w:val="0"/>
              <w:adjustRightInd w:val="0"/>
              <w:snapToGrid w:val="0"/>
              <w:spacing w:beforeLines="0" w:afterLines="0" w:line="240" w:lineRule="auto"/>
              <w:jc w:val="left"/>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功能性产业园根据实际需要落实建设用地。</w:t>
            </w:r>
          </w:p>
        </w:tc>
        <w:tc>
          <w:tcPr>
            <w:tcW w:w="72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both"/>
              <w:textAlignment w:val="center"/>
              <w:rPr>
                <w:rFonts w:hint="default" w:ascii="仿宋_GB2312" w:hAnsi="仿宋_GB2312" w:eastAsia="仿宋_GB2312" w:cs="仿宋_GB2312"/>
                <w:i w:val="0"/>
                <w:iCs w:val="0"/>
                <w:color w:val="auto"/>
                <w:kern w:val="0"/>
                <w:sz w:val="21"/>
                <w:szCs w:val="21"/>
                <w:u w:val="none"/>
                <w:lang w:val="en-US" w:eastAsia="zh-CN" w:bidi="ar"/>
              </w:rPr>
            </w:pPr>
          </w:p>
        </w:tc>
        <w:tc>
          <w:tcPr>
            <w:tcW w:w="707" w:type="dxa"/>
            <w:noWrap w:val="0"/>
            <w:vAlign w:val="center"/>
          </w:tcPr>
          <w:p>
            <w:pPr>
              <w:widowControl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rPr>
          <w:trHeight w:val="4230" w:hRule="atLeast"/>
          <w:jc w:val="center"/>
        </w:trPr>
        <w:tc>
          <w:tcPr>
            <w:tcW w:w="1130" w:type="dxa"/>
            <w:vMerge w:val="restart"/>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资金使</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用情况</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（35分）</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资金使</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用情况</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（35分）</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both"/>
              <w:textAlignment w:val="center"/>
              <w:rPr>
                <w:rFonts w:hint="eastAsia" w:ascii="仿宋_GB2312" w:hAnsi="仿宋_GB2312" w:eastAsia="仿宋_GB2312" w:cs="仿宋_GB2312"/>
                <w:i w:val="0"/>
                <w:iCs w:val="0"/>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both"/>
              <w:textAlignment w:val="center"/>
              <w:rPr>
                <w:rFonts w:hint="eastAsia" w:ascii="仿宋_GB2312" w:hAnsi="仿宋_GB2312" w:eastAsia="仿宋_GB2312" w:cs="仿宋_GB2312"/>
                <w:i w:val="0"/>
                <w:iCs w:val="0"/>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both"/>
              <w:textAlignment w:val="center"/>
              <w:rPr>
                <w:rFonts w:hint="eastAsia" w:ascii="仿宋_GB2312" w:hAnsi="仿宋_GB2312" w:eastAsia="仿宋_GB2312" w:cs="仿宋_GB2312"/>
                <w:i w:val="0"/>
                <w:iCs w:val="0"/>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both"/>
              <w:textAlignment w:val="center"/>
              <w:rPr>
                <w:rFonts w:hint="eastAsia" w:ascii="仿宋_GB2312" w:hAnsi="仿宋_GB2312" w:eastAsia="仿宋_GB2312" w:cs="仿宋_GB2312"/>
                <w:i w:val="0"/>
                <w:iCs w:val="0"/>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both"/>
              <w:textAlignment w:val="center"/>
              <w:rPr>
                <w:rFonts w:hint="eastAsia" w:ascii="仿宋_GB2312" w:hAnsi="仿宋_GB2312" w:eastAsia="仿宋_GB2312" w:cs="仿宋_GB2312"/>
                <w:i w:val="0"/>
                <w:iCs w:val="0"/>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both"/>
              <w:textAlignment w:val="center"/>
              <w:rPr>
                <w:rFonts w:hint="eastAsia" w:ascii="仿宋_GB2312" w:hAnsi="仿宋_GB2312" w:eastAsia="仿宋_GB2312" w:cs="仿宋_GB2312"/>
                <w:i w:val="0"/>
                <w:iCs w:val="0"/>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资金使</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用情况</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（35分）</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both"/>
              <w:textAlignment w:val="center"/>
              <w:rPr>
                <w:rFonts w:hint="eastAsia" w:ascii="仿宋_GB2312" w:hAnsi="仿宋_GB2312" w:eastAsia="仿宋_GB2312" w:cs="仿宋_GB2312"/>
                <w:i w:val="0"/>
                <w:iCs w:val="0"/>
                <w:color w:val="auto"/>
                <w:kern w:val="0"/>
                <w:sz w:val="21"/>
                <w:szCs w:val="21"/>
                <w:u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p>
        </w:tc>
        <w:tc>
          <w:tcPr>
            <w:tcW w:w="126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资金使用方案完善和备案</w:t>
            </w:r>
          </w:p>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情况</w:t>
            </w:r>
          </w:p>
        </w:tc>
        <w:tc>
          <w:tcPr>
            <w:tcW w:w="67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5</w:t>
            </w:r>
          </w:p>
        </w:tc>
        <w:tc>
          <w:tcPr>
            <w:tcW w:w="481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①</w:t>
            </w:r>
            <w:r>
              <w:rPr>
                <w:rFonts w:hint="eastAsia" w:ascii="仿宋_GB2312" w:hAnsi="仿宋_GB2312" w:eastAsia="仿宋_GB2312" w:cs="仿宋_GB2312"/>
                <w:i w:val="0"/>
                <w:iCs w:val="0"/>
                <w:color w:val="auto"/>
                <w:kern w:val="0"/>
                <w:sz w:val="21"/>
                <w:szCs w:val="21"/>
                <w:u w:val="none"/>
                <w:lang w:val="en-US" w:eastAsia="zh-CN" w:bidi="ar"/>
              </w:rPr>
              <w:t>根据资金使用方案评估、资金检查、审计等反馈意见进行完善后按时报备资金使用方案的，得5分。</w:t>
            </w:r>
          </w:p>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②未按时备案资金使用方案的，不超过3分。</w:t>
            </w:r>
          </w:p>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③未备案资金使用方案的，不得分，</w:t>
            </w:r>
            <w:r>
              <w:rPr>
                <w:rFonts w:hint="eastAsia" w:ascii="仿宋_GB2312" w:hAnsi="仿宋_GB2312" w:eastAsia="仿宋_GB2312" w:cs="仿宋_GB2312"/>
                <w:color w:val="auto"/>
                <w:kern w:val="0"/>
                <w:sz w:val="21"/>
                <w:szCs w:val="21"/>
                <w:u w:val="none"/>
                <w:lang w:val="en-US" w:eastAsia="zh-CN" w:bidi="ar"/>
              </w:rPr>
              <w:t>且中期评估评定为“暂不通过”</w:t>
            </w:r>
            <w:r>
              <w:rPr>
                <w:rFonts w:hint="eastAsia" w:ascii="仿宋_GB2312" w:hAnsi="仿宋_GB2312" w:eastAsia="仿宋_GB2312" w:cs="仿宋_GB2312"/>
                <w:i w:val="0"/>
                <w:iCs w:val="0"/>
                <w:color w:val="auto"/>
                <w:kern w:val="0"/>
                <w:sz w:val="21"/>
                <w:szCs w:val="21"/>
                <w:u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both"/>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另，除因省级政策原因外，因其他原因需调整资金使用方案的，每调整1次扣2分。如出现重大调整情况而未提出申请重新评估资金使用方案的，</w:t>
            </w:r>
            <w:r>
              <w:rPr>
                <w:rFonts w:hint="eastAsia" w:ascii="仿宋_GB2312" w:hAnsi="仿宋_GB2312" w:eastAsia="仿宋_GB2312" w:cs="仿宋_GB2312"/>
                <w:color w:val="auto"/>
                <w:kern w:val="0"/>
                <w:sz w:val="21"/>
                <w:szCs w:val="21"/>
                <w:u w:val="none"/>
                <w:lang w:val="en-US" w:eastAsia="zh-CN" w:bidi="ar"/>
              </w:rPr>
              <w:t>中期评估直接评定为“暂不通过”</w:t>
            </w:r>
            <w:r>
              <w:rPr>
                <w:rFonts w:hint="eastAsia" w:ascii="仿宋_GB2312" w:hAnsi="仿宋_GB2312" w:eastAsia="仿宋_GB2312" w:cs="仿宋_GB2312"/>
                <w:i w:val="0"/>
                <w:iCs w:val="0"/>
                <w:color w:val="auto"/>
                <w:kern w:val="0"/>
                <w:sz w:val="21"/>
                <w:szCs w:val="21"/>
                <w:u w:val="none"/>
                <w:lang w:val="en-US" w:eastAsia="zh-CN" w:bidi="ar"/>
              </w:rPr>
              <w:t>。</w:t>
            </w:r>
          </w:p>
        </w:tc>
        <w:tc>
          <w:tcPr>
            <w:tcW w:w="404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反映产业园是否严格按照有关规定进行完善报备以及资金使用方案变更是否超过规定次数。</w:t>
            </w:r>
          </w:p>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both"/>
              <w:textAlignment w:val="center"/>
              <w:rPr>
                <w:rFonts w:hint="default"/>
                <w:sz w:val="21"/>
                <w:szCs w:val="21"/>
                <w:lang w:val="en-US" w:eastAsia="zh-CN"/>
              </w:rPr>
            </w:pPr>
            <w:r>
              <w:rPr>
                <w:rFonts w:hint="eastAsia" w:ascii="仿宋_GB2312" w:hAnsi="仿宋_GB2312" w:eastAsia="仿宋_GB2312" w:cs="仿宋_GB2312"/>
                <w:i w:val="0"/>
                <w:iCs w:val="0"/>
                <w:color w:val="auto"/>
                <w:kern w:val="0"/>
                <w:sz w:val="21"/>
                <w:szCs w:val="21"/>
                <w:u w:val="none"/>
                <w:lang w:val="en-US" w:eastAsia="zh-CN" w:bidi="ar"/>
              </w:rPr>
              <w:t>备案时根据专家论证会论证意见完善的资金使用方案的情况可不算入规定修改次数中。</w:t>
            </w:r>
          </w:p>
        </w:tc>
        <w:tc>
          <w:tcPr>
            <w:tcW w:w="72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both"/>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70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rPr>
          <w:trHeight w:val="3922" w:hRule="atLeast"/>
          <w:jc w:val="center"/>
        </w:trPr>
        <w:tc>
          <w:tcPr>
            <w:tcW w:w="1130" w:type="dxa"/>
            <w:vMerge w:val="continue"/>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126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资金使用合规性</w:t>
            </w:r>
          </w:p>
        </w:tc>
        <w:tc>
          <w:tcPr>
            <w:tcW w:w="67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5</w:t>
            </w:r>
          </w:p>
        </w:tc>
        <w:tc>
          <w:tcPr>
            <w:tcW w:w="481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①</w:t>
            </w:r>
            <w:r>
              <w:rPr>
                <w:rFonts w:hint="eastAsia" w:ascii="仿宋_GB2312" w:hAnsi="仿宋_GB2312" w:eastAsia="仿宋_GB2312" w:cs="仿宋_GB2312"/>
                <w:i w:val="0"/>
                <w:iCs w:val="0"/>
                <w:color w:val="auto"/>
                <w:kern w:val="0"/>
                <w:sz w:val="21"/>
                <w:szCs w:val="21"/>
                <w:u w:val="none"/>
                <w:lang w:val="en-US" w:eastAsia="zh-CN" w:bidi="ar"/>
              </w:rPr>
              <w:t>产业园各</w:t>
            </w:r>
            <w:r>
              <w:rPr>
                <w:rFonts w:hint="default" w:ascii="仿宋_GB2312" w:hAnsi="仿宋_GB2312" w:eastAsia="仿宋_GB2312" w:cs="仿宋_GB2312"/>
                <w:i w:val="0"/>
                <w:iCs w:val="0"/>
                <w:color w:val="auto"/>
                <w:kern w:val="0"/>
                <w:sz w:val="21"/>
                <w:szCs w:val="21"/>
                <w:u w:val="none"/>
                <w:lang w:val="en-US" w:eastAsia="zh-CN" w:bidi="ar"/>
              </w:rPr>
              <w:t>实施主体</w:t>
            </w:r>
            <w:r>
              <w:rPr>
                <w:rFonts w:hint="eastAsia" w:ascii="仿宋_GB2312" w:hAnsi="仿宋_GB2312" w:eastAsia="仿宋_GB2312" w:cs="仿宋_GB2312"/>
                <w:i w:val="0"/>
                <w:iCs w:val="0"/>
                <w:color w:val="auto"/>
                <w:kern w:val="0"/>
                <w:sz w:val="21"/>
                <w:szCs w:val="21"/>
                <w:u w:val="none"/>
                <w:lang w:val="en-US" w:eastAsia="zh-CN" w:bidi="ar"/>
              </w:rPr>
              <w:t>开设专户并建立专账，</w:t>
            </w:r>
            <w:r>
              <w:rPr>
                <w:rFonts w:hint="default" w:ascii="仿宋_GB2312" w:hAnsi="仿宋_GB2312" w:eastAsia="仿宋_GB2312" w:cs="仿宋_GB2312"/>
                <w:i w:val="0"/>
                <w:iCs w:val="0"/>
                <w:color w:val="auto"/>
                <w:kern w:val="0"/>
                <w:sz w:val="21"/>
                <w:szCs w:val="21"/>
                <w:u w:val="none"/>
                <w:lang w:val="en-US" w:eastAsia="zh-CN" w:bidi="ar"/>
              </w:rPr>
              <w:t>按照</w:t>
            </w:r>
            <w:r>
              <w:rPr>
                <w:rFonts w:hint="eastAsia" w:ascii="仿宋_GB2312" w:hAnsi="仿宋_GB2312" w:eastAsia="仿宋_GB2312" w:cs="仿宋_GB2312"/>
                <w:i w:val="0"/>
                <w:iCs w:val="0"/>
                <w:color w:val="auto"/>
                <w:kern w:val="0"/>
                <w:sz w:val="21"/>
                <w:szCs w:val="21"/>
                <w:u w:val="none"/>
                <w:lang w:val="en-US" w:eastAsia="zh-CN" w:bidi="ar"/>
              </w:rPr>
              <w:t>备案</w:t>
            </w:r>
            <w:r>
              <w:rPr>
                <w:rFonts w:hint="default" w:ascii="仿宋_GB2312" w:hAnsi="仿宋_GB2312" w:eastAsia="仿宋_GB2312" w:cs="仿宋_GB2312"/>
                <w:i w:val="0"/>
                <w:iCs w:val="0"/>
                <w:color w:val="auto"/>
                <w:kern w:val="0"/>
                <w:sz w:val="21"/>
                <w:szCs w:val="21"/>
                <w:u w:val="none"/>
                <w:lang w:val="en-US" w:eastAsia="zh-CN" w:bidi="ar"/>
              </w:rPr>
              <w:t>的资金使用方案</w:t>
            </w:r>
            <w:r>
              <w:rPr>
                <w:rFonts w:hint="eastAsia" w:ascii="仿宋_GB2312" w:hAnsi="仿宋_GB2312" w:eastAsia="仿宋_GB2312" w:cs="仿宋_GB2312"/>
                <w:i w:val="0"/>
                <w:iCs w:val="0"/>
                <w:color w:val="auto"/>
                <w:kern w:val="0"/>
                <w:sz w:val="21"/>
                <w:szCs w:val="21"/>
                <w:u w:val="none"/>
                <w:lang w:val="en-US" w:eastAsia="zh-CN" w:bidi="ar"/>
              </w:rPr>
              <w:t>和合同支出</w:t>
            </w:r>
            <w:r>
              <w:rPr>
                <w:rFonts w:hint="default" w:ascii="仿宋_GB2312" w:hAnsi="仿宋_GB2312" w:eastAsia="仿宋_GB2312" w:cs="仿宋_GB2312"/>
                <w:i w:val="0"/>
                <w:iCs w:val="0"/>
                <w:color w:val="auto"/>
                <w:kern w:val="0"/>
                <w:sz w:val="21"/>
                <w:szCs w:val="21"/>
                <w:u w:val="none"/>
                <w:lang w:val="en-US" w:eastAsia="zh-CN" w:bidi="ar"/>
              </w:rPr>
              <w:t>，</w:t>
            </w:r>
            <w:r>
              <w:rPr>
                <w:rFonts w:hint="eastAsia" w:ascii="仿宋_GB2312" w:hAnsi="仿宋_GB2312" w:eastAsia="仿宋_GB2312" w:cs="仿宋_GB2312"/>
                <w:i w:val="0"/>
                <w:iCs w:val="0"/>
                <w:color w:val="auto"/>
                <w:kern w:val="0"/>
                <w:sz w:val="21"/>
                <w:szCs w:val="21"/>
                <w:u w:val="none"/>
                <w:lang w:val="en-US" w:eastAsia="zh-CN" w:bidi="ar"/>
              </w:rPr>
              <w:t>财务合规，账目清晰，专款专用，支出凭证（包括专账核算、入账手续及凭证完整性合法性、支出内容合理性、银行支付流水清单等）齐全的，得5分。</w:t>
            </w:r>
          </w:p>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both"/>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②</w:t>
            </w:r>
            <w:r>
              <w:rPr>
                <w:rFonts w:hint="eastAsia" w:ascii="仿宋_GB2312" w:hAnsi="仿宋_GB2312" w:eastAsia="仿宋_GB2312" w:cs="仿宋_GB2312"/>
                <w:i w:val="0"/>
                <w:iCs w:val="0"/>
                <w:color w:val="auto"/>
                <w:kern w:val="0"/>
                <w:sz w:val="21"/>
                <w:szCs w:val="21"/>
                <w:u w:val="none"/>
                <w:lang w:val="en-US" w:eastAsia="zh-CN" w:bidi="ar"/>
              </w:rPr>
              <w:t>产业园各</w:t>
            </w:r>
            <w:r>
              <w:rPr>
                <w:rFonts w:hint="default" w:ascii="仿宋_GB2312" w:hAnsi="仿宋_GB2312" w:eastAsia="仿宋_GB2312" w:cs="仿宋_GB2312"/>
                <w:i w:val="0"/>
                <w:iCs w:val="0"/>
                <w:color w:val="auto"/>
                <w:kern w:val="0"/>
                <w:sz w:val="21"/>
                <w:szCs w:val="21"/>
                <w:u w:val="none"/>
                <w:lang w:val="en-US" w:eastAsia="zh-CN" w:bidi="ar"/>
              </w:rPr>
              <w:t>实施主体</w:t>
            </w:r>
            <w:r>
              <w:rPr>
                <w:rFonts w:hint="eastAsia" w:ascii="仿宋_GB2312" w:hAnsi="仿宋_GB2312" w:eastAsia="仿宋_GB2312" w:cs="仿宋_GB2312"/>
                <w:i w:val="0"/>
                <w:iCs w:val="0"/>
                <w:color w:val="auto"/>
                <w:kern w:val="0"/>
                <w:sz w:val="21"/>
                <w:szCs w:val="21"/>
                <w:u w:val="none"/>
                <w:lang w:val="en-US" w:eastAsia="zh-CN" w:bidi="ar"/>
              </w:rPr>
              <w:t>开设专户并建立专账，</w:t>
            </w:r>
            <w:r>
              <w:rPr>
                <w:rFonts w:hint="default" w:ascii="仿宋_GB2312" w:hAnsi="仿宋_GB2312" w:eastAsia="仿宋_GB2312" w:cs="仿宋_GB2312"/>
                <w:i w:val="0"/>
                <w:iCs w:val="0"/>
                <w:color w:val="auto"/>
                <w:kern w:val="0"/>
                <w:sz w:val="21"/>
                <w:szCs w:val="21"/>
                <w:u w:val="none"/>
                <w:lang w:val="en-US" w:eastAsia="zh-CN" w:bidi="ar"/>
              </w:rPr>
              <w:t>按照</w:t>
            </w:r>
            <w:r>
              <w:rPr>
                <w:rFonts w:hint="eastAsia" w:ascii="仿宋_GB2312" w:hAnsi="仿宋_GB2312" w:eastAsia="仿宋_GB2312" w:cs="仿宋_GB2312"/>
                <w:i w:val="0"/>
                <w:iCs w:val="0"/>
                <w:color w:val="auto"/>
                <w:kern w:val="0"/>
                <w:sz w:val="21"/>
                <w:szCs w:val="21"/>
                <w:u w:val="none"/>
                <w:lang w:val="en-US" w:eastAsia="zh-CN" w:bidi="ar"/>
              </w:rPr>
              <w:t>备案</w:t>
            </w:r>
            <w:r>
              <w:rPr>
                <w:rFonts w:hint="default" w:ascii="仿宋_GB2312" w:hAnsi="仿宋_GB2312" w:eastAsia="仿宋_GB2312" w:cs="仿宋_GB2312"/>
                <w:i w:val="0"/>
                <w:iCs w:val="0"/>
                <w:color w:val="auto"/>
                <w:kern w:val="0"/>
                <w:sz w:val="21"/>
                <w:szCs w:val="21"/>
                <w:u w:val="none"/>
                <w:lang w:val="en-US" w:eastAsia="zh-CN" w:bidi="ar"/>
              </w:rPr>
              <w:t>的资金使用方案</w:t>
            </w:r>
            <w:r>
              <w:rPr>
                <w:rFonts w:hint="eastAsia" w:ascii="仿宋_GB2312" w:hAnsi="仿宋_GB2312" w:eastAsia="仿宋_GB2312" w:cs="仿宋_GB2312"/>
                <w:i w:val="0"/>
                <w:iCs w:val="0"/>
                <w:color w:val="auto"/>
                <w:kern w:val="0"/>
                <w:sz w:val="21"/>
                <w:szCs w:val="21"/>
                <w:u w:val="none"/>
                <w:lang w:val="en-US" w:eastAsia="zh-CN" w:bidi="ar"/>
              </w:rPr>
              <w:t>和合同支出，但有实施主体存在出现账目不规范、支出凭证不齐的，酌情扣分。</w:t>
            </w:r>
          </w:p>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both"/>
              <w:textAlignment w:val="center"/>
              <w:rPr>
                <w:rFonts w:hint="eastAsia" w:ascii="仿宋_GB2312" w:hAnsi="仿宋_GB2312" w:eastAsia="仿宋_GB2312" w:cs="仿宋_GB2312"/>
                <w:color w:val="auto"/>
                <w:kern w:val="0"/>
                <w:sz w:val="21"/>
                <w:szCs w:val="21"/>
                <w:u w:val="none"/>
                <w:lang w:val="en-US" w:eastAsia="zh-CN" w:bidi="ar"/>
              </w:rPr>
            </w:pPr>
            <w:r>
              <w:rPr>
                <w:rFonts w:hint="eastAsia" w:ascii="仿宋_GB2312" w:hAnsi="仿宋_GB2312" w:eastAsia="仿宋_GB2312" w:cs="仿宋_GB2312"/>
                <w:color w:val="auto"/>
                <w:kern w:val="0"/>
                <w:sz w:val="21"/>
                <w:szCs w:val="21"/>
                <w:u w:val="none"/>
                <w:lang w:val="en-US" w:eastAsia="zh-CN" w:bidi="ar"/>
              </w:rPr>
              <w:t>③</w:t>
            </w:r>
            <w:r>
              <w:rPr>
                <w:rFonts w:hint="default" w:ascii="仿宋_GB2312" w:hAnsi="仿宋_GB2312" w:eastAsia="仿宋_GB2312" w:cs="仿宋_GB2312"/>
                <w:i w:val="0"/>
                <w:iCs w:val="0"/>
                <w:color w:val="auto"/>
                <w:kern w:val="0"/>
                <w:sz w:val="21"/>
                <w:szCs w:val="21"/>
                <w:u w:val="none"/>
                <w:lang w:val="en-US" w:eastAsia="zh-CN" w:bidi="ar"/>
              </w:rPr>
              <w:t>实施主体</w:t>
            </w:r>
            <w:r>
              <w:rPr>
                <w:rFonts w:hint="eastAsia" w:ascii="仿宋_GB2312" w:hAnsi="仿宋_GB2312" w:eastAsia="仿宋_GB2312" w:cs="仿宋_GB2312"/>
                <w:i w:val="0"/>
                <w:iCs w:val="0"/>
                <w:color w:val="auto"/>
                <w:kern w:val="0"/>
                <w:sz w:val="21"/>
                <w:szCs w:val="21"/>
                <w:u w:val="none"/>
                <w:lang w:val="en-US" w:eastAsia="zh-CN" w:bidi="ar"/>
              </w:rPr>
              <w:t>出现未</w:t>
            </w:r>
            <w:r>
              <w:rPr>
                <w:rFonts w:hint="default" w:ascii="仿宋_GB2312" w:hAnsi="仿宋_GB2312" w:eastAsia="仿宋_GB2312" w:cs="仿宋_GB2312"/>
                <w:i w:val="0"/>
                <w:iCs w:val="0"/>
                <w:color w:val="auto"/>
                <w:kern w:val="0"/>
                <w:sz w:val="21"/>
                <w:szCs w:val="21"/>
                <w:u w:val="none"/>
                <w:lang w:val="en-US" w:eastAsia="zh-CN" w:bidi="ar"/>
              </w:rPr>
              <w:t>按照</w:t>
            </w:r>
            <w:r>
              <w:rPr>
                <w:rFonts w:hint="eastAsia" w:ascii="仿宋_GB2312" w:hAnsi="仿宋_GB2312" w:eastAsia="仿宋_GB2312" w:cs="仿宋_GB2312"/>
                <w:i w:val="0"/>
                <w:iCs w:val="0"/>
                <w:color w:val="auto"/>
                <w:kern w:val="0"/>
                <w:sz w:val="21"/>
                <w:szCs w:val="21"/>
                <w:u w:val="none"/>
                <w:lang w:val="en-US" w:eastAsia="zh-CN" w:bidi="ar"/>
              </w:rPr>
              <w:t>备案</w:t>
            </w:r>
            <w:r>
              <w:rPr>
                <w:rFonts w:hint="default" w:ascii="仿宋_GB2312" w:hAnsi="仿宋_GB2312" w:eastAsia="仿宋_GB2312" w:cs="仿宋_GB2312"/>
                <w:i w:val="0"/>
                <w:iCs w:val="0"/>
                <w:color w:val="auto"/>
                <w:kern w:val="0"/>
                <w:sz w:val="21"/>
                <w:szCs w:val="21"/>
                <w:u w:val="none"/>
                <w:lang w:val="en-US" w:eastAsia="zh-CN" w:bidi="ar"/>
              </w:rPr>
              <w:t>的资金使用方案</w:t>
            </w:r>
            <w:r>
              <w:rPr>
                <w:rFonts w:hint="eastAsia" w:ascii="仿宋_GB2312" w:hAnsi="仿宋_GB2312" w:eastAsia="仿宋_GB2312" w:cs="仿宋_GB2312"/>
                <w:i w:val="0"/>
                <w:iCs w:val="0"/>
                <w:color w:val="auto"/>
                <w:kern w:val="0"/>
                <w:sz w:val="21"/>
                <w:szCs w:val="21"/>
                <w:u w:val="none"/>
                <w:lang w:val="en-US" w:eastAsia="zh-CN" w:bidi="ar"/>
              </w:rPr>
              <w:t>和合同支出，或未开设专户进行专账管理，或财政资金支出存在违规、负面清单等情况的，不得分。</w:t>
            </w:r>
          </w:p>
        </w:tc>
        <w:tc>
          <w:tcPr>
            <w:tcW w:w="4045" w:type="dxa"/>
            <w:noWrap w:val="0"/>
            <w:vAlign w:val="center"/>
          </w:tcPr>
          <w:p>
            <w:pPr>
              <w:keepNext w:val="0"/>
              <w:keepLines w:val="0"/>
              <w:adjustRightInd w:val="0"/>
              <w:snapToGrid w:val="0"/>
              <w:spacing w:before="0" w:beforeLines="0" w:after="0" w:afterLines="0" w:line="240" w:lineRule="auto"/>
              <w:jc w:val="left"/>
              <w:textAlignment w:val="center"/>
              <w:rPr>
                <w:rFonts w:hint="eastAsia" w:ascii="仿宋_GB2312" w:hAnsi="仿宋_GB2312" w:eastAsia="仿宋_GB2312" w:cs="仿宋_GB2312"/>
                <w:snapToGrid w:val="0"/>
                <w:color w:val="auto"/>
                <w:spacing w:val="-11"/>
                <w:kern w:val="0"/>
                <w:sz w:val="21"/>
                <w:szCs w:val="21"/>
                <w:u w:val="none"/>
                <w:lang w:val="en-US" w:eastAsia="zh-CN" w:bidi="ar"/>
              </w:rPr>
            </w:pPr>
            <w:r>
              <w:rPr>
                <w:rFonts w:hint="eastAsia" w:ascii="仿宋_GB2312" w:hAnsi="仿宋_GB2312" w:eastAsia="仿宋_GB2312" w:cs="仿宋_GB2312"/>
                <w:snapToGrid w:val="0"/>
                <w:color w:val="auto"/>
                <w:spacing w:val="-11"/>
                <w:kern w:val="0"/>
                <w:sz w:val="21"/>
                <w:szCs w:val="21"/>
                <w:u w:val="none"/>
                <w:lang w:val="en-US" w:eastAsia="zh-CN" w:bidi="ar"/>
              </w:rPr>
              <w:t>反映和评估产业园项目资金的规范运行情况。</w:t>
            </w:r>
          </w:p>
          <w:p>
            <w:pPr>
              <w:keepNext w:val="0"/>
              <w:keepLines w:val="0"/>
              <w:adjustRightInd w:val="0"/>
              <w:snapToGrid w:val="0"/>
              <w:spacing w:before="0" w:beforeLines="0" w:after="0" w:afterLines="0" w:line="240" w:lineRule="auto"/>
              <w:jc w:val="both"/>
              <w:textAlignment w:val="center"/>
              <w:rPr>
                <w:rFonts w:hint="default" w:ascii="仿宋_GB2312" w:hAnsi="仿宋_GB2312" w:eastAsia="仿宋_GB2312" w:cs="仿宋_GB2312"/>
                <w:color w:val="auto"/>
                <w:kern w:val="0"/>
                <w:sz w:val="21"/>
                <w:szCs w:val="21"/>
                <w:u w:val="none"/>
                <w:lang w:val="en-US" w:eastAsia="zh-CN" w:bidi="ar"/>
              </w:rPr>
            </w:pPr>
            <w:r>
              <w:rPr>
                <w:rFonts w:hint="eastAsia" w:ascii="仿宋_GB2312" w:hAnsi="仿宋_GB2312" w:eastAsia="仿宋_GB2312" w:cs="仿宋_GB2312"/>
                <w:color w:val="auto"/>
                <w:kern w:val="0"/>
                <w:sz w:val="21"/>
                <w:szCs w:val="21"/>
                <w:u w:val="none"/>
                <w:lang w:val="en-US" w:eastAsia="zh-CN" w:bidi="ar"/>
              </w:rPr>
              <w:t>①因合理客观原因无法开设专户，可只建立专账。</w:t>
            </w:r>
          </w:p>
          <w:p>
            <w:pPr>
              <w:adjustRightInd w:val="0"/>
              <w:snapToGrid w:val="0"/>
              <w:spacing w:beforeLines="0" w:afterLines="0" w:line="240" w:lineRule="auto"/>
              <w:textAlignment w:val="center"/>
              <w:rPr>
                <w:rFonts w:hint="eastAsia" w:ascii="仿宋_GB2312" w:hAnsi="仿宋_GB2312" w:eastAsia="仿宋_GB2312" w:cs="仿宋_GB2312"/>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②</w:t>
            </w:r>
            <w:r>
              <w:rPr>
                <w:rFonts w:hint="eastAsia" w:ascii="仿宋_GB2312" w:hAnsi="仿宋_GB2312" w:eastAsia="仿宋_GB2312" w:cs="仿宋_GB2312"/>
                <w:i w:val="0"/>
                <w:iCs w:val="0"/>
                <w:snapToGrid w:val="0"/>
                <w:color w:val="auto"/>
                <w:spacing w:val="-11"/>
                <w:kern w:val="0"/>
                <w:sz w:val="21"/>
                <w:szCs w:val="21"/>
                <w:u w:val="none"/>
                <w:lang w:val="en-US" w:eastAsia="zh-CN" w:bidi="ar"/>
              </w:rPr>
              <w:t>可合理应用第三方财政资金专项检查结果。</w:t>
            </w:r>
          </w:p>
        </w:tc>
        <w:tc>
          <w:tcPr>
            <w:tcW w:w="72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both"/>
              <w:textAlignment w:val="center"/>
              <w:rPr>
                <w:rFonts w:hint="default"/>
                <w:sz w:val="21"/>
                <w:szCs w:val="21"/>
                <w:lang w:val="en-US" w:eastAsia="zh-CN"/>
              </w:rPr>
            </w:pPr>
          </w:p>
        </w:tc>
        <w:tc>
          <w:tcPr>
            <w:tcW w:w="70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rPr>
          <w:trHeight w:val="3655" w:hRule="atLeast"/>
          <w:jc w:val="center"/>
        </w:trPr>
        <w:tc>
          <w:tcPr>
            <w:tcW w:w="1130" w:type="dxa"/>
            <w:vMerge w:val="continue"/>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126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财政资金拨付合</w:t>
            </w:r>
          </w:p>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规性</w:t>
            </w:r>
          </w:p>
        </w:tc>
        <w:tc>
          <w:tcPr>
            <w:tcW w:w="67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5</w:t>
            </w:r>
          </w:p>
        </w:tc>
        <w:tc>
          <w:tcPr>
            <w:tcW w:w="481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both"/>
              <w:textAlignment w:val="center"/>
              <w:rPr>
                <w:rFonts w:hint="default" w:ascii="仿宋_GB2312" w:hAnsi="仿宋_GB2312" w:eastAsia="仿宋_GB2312" w:cs="仿宋_GB2312"/>
                <w:i w:val="0"/>
                <w:iCs w:val="0"/>
                <w:color w:val="auto"/>
                <w:kern w:val="0"/>
                <w:sz w:val="21"/>
                <w:szCs w:val="21"/>
                <w:u w:val="none"/>
                <w:lang w:val="en-US" w:eastAsia="zh-Hans" w:bidi="ar"/>
              </w:rPr>
            </w:pPr>
            <w:r>
              <w:rPr>
                <w:rFonts w:hint="default" w:ascii="仿宋_GB2312" w:hAnsi="仿宋_GB2312" w:eastAsia="仿宋_GB2312" w:cs="仿宋_GB2312"/>
                <w:i w:val="0"/>
                <w:iCs w:val="0"/>
                <w:color w:val="auto"/>
                <w:kern w:val="0"/>
                <w:sz w:val="21"/>
                <w:szCs w:val="21"/>
                <w:u w:val="none"/>
                <w:lang w:val="en-US" w:eastAsia="zh-CN" w:bidi="ar"/>
              </w:rPr>
              <w:t>①</w:t>
            </w:r>
            <w:r>
              <w:rPr>
                <w:rFonts w:hint="eastAsia" w:ascii="仿宋_GB2312" w:hAnsi="仿宋_GB2312" w:eastAsia="仿宋_GB2312" w:cs="仿宋_GB2312"/>
                <w:i w:val="0"/>
                <w:iCs w:val="0"/>
                <w:color w:val="auto"/>
                <w:kern w:val="0"/>
                <w:sz w:val="21"/>
                <w:szCs w:val="21"/>
                <w:u w:val="none"/>
                <w:lang w:val="en-US" w:eastAsia="zh-CN" w:bidi="ar"/>
              </w:rPr>
              <w:t>责任主体组织</w:t>
            </w:r>
            <w:r>
              <w:rPr>
                <w:rFonts w:hint="eastAsia" w:ascii="仿宋_GB2312" w:hAnsi="仿宋_GB2312" w:eastAsia="仿宋_GB2312" w:cs="仿宋_GB2312"/>
                <w:snapToGrid/>
                <w:color w:val="auto"/>
                <w:kern w:val="0"/>
                <w:sz w:val="21"/>
                <w:szCs w:val="21"/>
                <w:highlight w:val="none"/>
                <w:u w:val="none"/>
                <w:shd w:val="clear" w:color="auto" w:fill="auto"/>
                <w:lang w:eastAsia="zh-CN" w:bidi="ar"/>
              </w:rPr>
              <w:t>主管部门、银行和企业等签订共管协议，组织成立了资金使用审核小组</w:t>
            </w:r>
            <w:r>
              <w:rPr>
                <w:rFonts w:hint="eastAsia" w:ascii="仿宋_GB2312" w:hAnsi="仿宋_GB2312" w:eastAsia="仿宋_GB2312" w:cs="仿宋_GB2312"/>
                <w:i w:val="0"/>
                <w:iCs w:val="0"/>
                <w:color w:val="auto"/>
                <w:kern w:val="0"/>
                <w:sz w:val="21"/>
                <w:szCs w:val="21"/>
                <w:u w:val="none"/>
                <w:lang w:val="en-US" w:eastAsia="zh-CN" w:bidi="ar"/>
              </w:rPr>
              <w:t>，按时审核资金，实施主体及时支出，得5分。</w:t>
            </w:r>
          </w:p>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②</w:t>
            </w:r>
            <w:r>
              <w:rPr>
                <w:rFonts w:hint="eastAsia" w:ascii="仿宋_GB2312" w:hAnsi="仿宋_GB2312" w:eastAsia="仿宋_GB2312" w:cs="仿宋_GB2312"/>
                <w:i w:val="0"/>
                <w:iCs w:val="0"/>
                <w:color w:val="auto"/>
                <w:kern w:val="0"/>
                <w:sz w:val="21"/>
                <w:szCs w:val="21"/>
                <w:u w:val="none"/>
                <w:lang w:val="en-US" w:eastAsia="zh-CN" w:bidi="ar"/>
              </w:rPr>
              <w:t>责任主体组织</w:t>
            </w:r>
            <w:r>
              <w:rPr>
                <w:rFonts w:hint="eastAsia" w:ascii="仿宋_GB2312" w:hAnsi="仿宋_GB2312" w:eastAsia="仿宋_GB2312" w:cs="仿宋_GB2312"/>
                <w:snapToGrid/>
                <w:color w:val="auto"/>
                <w:kern w:val="0"/>
                <w:sz w:val="21"/>
                <w:szCs w:val="21"/>
                <w:highlight w:val="none"/>
                <w:u w:val="none"/>
                <w:shd w:val="clear" w:color="auto" w:fill="auto"/>
                <w:lang w:eastAsia="zh-CN" w:bidi="ar"/>
              </w:rPr>
              <w:t>主管部门、银行和企业等签订共管协议，组织成立了资金使用审核小组</w:t>
            </w:r>
            <w:r>
              <w:rPr>
                <w:rFonts w:hint="eastAsia" w:ascii="仿宋_GB2312" w:hAnsi="仿宋_GB2312" w:eastAsia="仿宋_GB2312" w:cs="仿宋_GB2312"/>
                <w:i w:val="0"/>
                <w:iCs w:val="0"/>
                <w:color w:val="auto"/>
                <w:kern w:val="0"/>
                <w:sz w:val="21"/>
                <w:szCs w:val="21"/>
                <w:u w:val="none"/>
                <w:lang w:val="en-US" w:eastAsia="zh-CN" w:bidi="ar"/>
              </w:rPr>
              <w:t>，但未按时审核资金，实施主体未及时支出，酌情扣分。</w:t>
            </w:r>
          </w:p>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both"/>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color w:val="auto"/>
                <w:kern w:val="0"/>
                <w:sz w:val="21"/>
                <w:szCs w:val="21"/>
                <w:u w:val="none"/>
                <w:lang w:val="en-US" w:eastAsia="zh-CN" w:bidi="ar"/>
              </w:rPr>
              <w:t>③</w:t>
            </w:r>
            <w:r>
              <w:rPr>
                <w:rFonts w:hint="eastAsia" w:ascii="仿宋_GB2312" w:hAnsi="仿宋_GB2312" w:eastAsia="仿宋_GB2312" w:cs="仿宋_GB2312"/>
                <w:i w:val="0"/>
                <w:iCs w:val="0"/>
                <w:color w:val="auto"/>
                <w:kern w:val="0"/>
                <w:sz w:val="21"/>
                <w:szCs w:val="21"/>
                <w:u w:val="none"/>
                <w:lang w:val="en-US" w:eastAsia="zh-CN" w:bidi="ar"/>
              </w:rPr>
              <w:t>责任主体未组织</w:t>
            </w:r>
            <w:r>
              <w:rPr>
                <w:rFonts w:hint="eastAsia" w:ascii="仿宋_GB2312" w:hAnsi="仿宋_GB2312" w:eastAsia="仿宋_GB2312" w:cs="仿宋_GB2312"/>
                <w:snapToGrid/>
                <w:color w:val="auto"/>
                <w:kern w:val="0"/>
                <w:sz w:val="21"/>
                <w:szCs w:val="21"/>
                <w:u w:val="none"/>
                <w:shd w:val="clear" w:color="auto" w:fill="auto"/>
                <w:lang w:eastAsia="zh-CN" w:bidi="ar"/>
              </w:rPr>
              <w:t>主管部门、银行和企业等签订共管协议，未组织成立资金使用审核小组</w:t>
            </w:r>
            <w:r>
              <w:rPr>
                <w:rFonts w:hint="default" w:ascii="仿宋_GB2312" w:hAnsi="仿宋_GB2312" w:eastAsia="仿宋_GB2312" w:cs="仿宋_GB2312"/>
                <w:i w:val="0"/>
                <w:iCs w:val="0"/>
                <w:color w:val="auto"/>
                <w:kern w:val="0"/>
                <w:sz w:val="21"/>
                <w:szCs w:val="21"/>
                <w:u w:val="none"/>
                <w:lang w:val="en-US" w:eastAsia="zh-Hans" w:bidi="ar"/>
              </w:rPr>
              <w:t>，</w:t>
            </w:r>
            <w:r>
              <w:rPr>
                <w:rFonts w:hint="eastAsia" w:ascii="仿宋_GB2312" w:hAnsi="仿宋_GB2312" w:eastAsia="仿宋_GB2312" w:cs="仿宋_GB2312"/>
                <w:i w:val="0"/>
                <w:iCs w:val="0"/>
                <w:color w:val="auto"/>
                <w:kern w:val="0"/>
                <w:sz w:val="21"/>
                <w:szCs w:val="21"/>
                <w:u w:val="none"/>
                <w:lang w:val="en-US" w:eastAsia="zh-Hans" w:bidi="ar"/>
              </w:rPr>
              <w:t>不得分</w:t>
            </w:r>
            <w:r>
              <w:rPr>
                <w:rFonts w:hint="eastAsia" w:ascii="仿宋_GB2312" w:hAnsi="仿宋_GB2312" w:eastAsia="仿宋_GB2312" w:cs="仿宋_GB2312"/>
                <w:i w:val="0"/>
                <w:iCs w:val="0"/>
                <w:color w:val="auto"/>
                <w:kern w:val="0"/>
                <w:sz w:val="21"/>
                <w:szCs w:val="21"/>
                <w:u w:val="none"/>
                <w:lang w:val="en-US" w:eastAsia="zh-CN" w:bidi="ar"/>
              </w:rPr>
              <w:t>。</w:t>
            </w:r>
          </w:p>
        </w:tc>
        <w:tc>
          <w:tcPr>
            <w:tcW w:w="4045" w:type="dxa"/>
            <w:noWrap w:val="0"/>
            <w:vAlign w:val="center"/>
          </w:tcPr>
          <w:p>
            <w:pPr>
              <w:pStyle w:val="2"/>
              <w:keepNext w:val="0"/>
              <w:keepLines w:val="0"/>
              <w:adjustRightInd w:val="0"/>
              <w:snapToGrid w:val="0"/>
              <w:spacing w:before="0" w:beforeLines="0" w:after="0" w:afterLines="0" w:line="240" w:lineRule="auto"/>
              <w:jc w:val="both"/>
              <w:rPr>
                <w:rFonts w:hint="eastAsia" w:ascii="仿宋_GB2312" w:hAnsi="仿宋_GB2312" w:eastAsia="仿宋_GB2312" w:cs="仿宋_GB2312"/>
                <w:b/>
                <w:bCs/>
                <w:i w:val="0"/>
                <w:iCs w:val="0"/>
                <w:color w:val="auto"/>
                <w:kern w:val="0"/>
                <w:sz w:val="21"/>
                <w:szCs w:val="21"/>
                <w:u w:val="none"/>
                <w:lang w:val="en-US" w:eastAsia="zh-CN" w:bidi="ar"/>
              </w:rPr>
            </w:pPr>
            <w:r>
              <w:rPr>
                <w:rFonts w:hint="eastAsia" w:ascii="仿宋_GB2312" w:hAnsi="仿宋_GB2312" w:eastAsia="仿宋_GB2312" w:cs="仿宋_GB2312"/>
                <w:b w:val="0"/>
                <w:bCs w:val="0"/>
                <w:i w:val="0"/>
                <w:iCs w:val="0"/>
                <w:color w:val="auto"/>
                <w:kern w:val="0"/>
                <w:sz w:val="21"/>
                <w:szCs w:val="21"/>
                <w:u w:val="none"/>
                <w:lang w:val="en-US" w:eastAsia="zh-CN" w:bidi="ar"/>
              </w:rPr>
              <w:t>反映产业园财政资金拨付情况。省级补助资金不再直接拨付到牵头实施主体的产业园，无需签订共管协议。</w:t>
            </w:r>
          </w:p>
        </w:tc>
        <w:tc>
          <w:tcPr>
            <w:tcW w:w="72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left"/>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70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rPr>
          <w:trHeight w:val="3203" w:hRule="atLeast"/>
          <w:jc w:val="center"/>
        </w:trPr>
        <w:tc>
          <w:tcPr>
            <w:tcW w:w="1130" w:type="dxa"/>
            <w:vMerge w:val="continue"/>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p>
        </w:tc>
        <w:tc>
          <w:tcPr>
            <w:tcW w:w="126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财政资金使用进度</w:t>
            </w:r>
          </w:p>
        </w:tc>
        <w:tc>
          <w:tcPr>
            <w:tcW w:w="67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10</w:t>
            </w:r>
          </w:p>
        </w:tc>
        <w:tc>
          <w:tcPr>
            <w:tcW w:w="481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both"/>
              <w:textAlignment w:val="center"/>
              <w:rPr>
                <w:rFonts w:hint="eastAsia" w:ascii="仿宋_GB2312" w:hAnsi="仿宋_GB2312" w:eastAsia="仿宋_GB2312" w:cs="仿宋_GB2312"/>
                <w:color w:val="auto"/>
                <w:kern w:val="0"/>
                <w:sz w:val="21"/>
                <w:szCs w:val="21"/>
                <w:u w:val="none"/>
                <w:lang w:val="en-US" w:eastAsia="zh-CN" w:bidi="ar"/>
              </w:rPr>
            </w:pPr>
            <w:r>
              <w:rPr>
                <w:rFonts w:hint="eastAsia" w:ascii="仿宋_GB2312" w:hAnsi="仿宋_GB2312" w:eastAsia="仿宋_GB2312" w:cs="仿宋_GB2312"/>
                <w:color w:val="auto"/>
                <w:kern w:val="0"/>
                <w:sz w:val="21"/>
                <w:szCs w:val="21"/>
                <w:u w:val="none"/>
                <w:lang w:val="en-US" w:eastAsia="zh-CN" w:bidi="ar"/>
              </w:rPr>
              <w:t>①资金支出进度达80%（含）以上的（质保金视为已使用资金），得10分。</w:t>
            </w:r>
          </w:p>
          <w:p>
            <w:pPr>
              <w:widowControl w:val="0"/>
              <w:adjustRightInd w:val="0"/>
              <w:snapToGrid w:val="0"/>
              <w:spacing w:beforeLines="0" w:afterLines="0" w:line="240" w:lineRule="auto"/>
              <w:jc w:val="both"/>
              <w:textAlignment w:val="center"/>
              <w:rPr>
                <w:rFonts w:hint="eastAsia" w:ascii="仿宋_GB2312" w:hAnsi="仿宋_GB2312" w:eastAsia="仿宋_GB2312" w:cs="仿宋_GB2312"/>
                <w:color w:val="auto"/>
                <w:kern w:val="0"/>
                <w:sz w:val="21"/>
                <w:szCs w:val="21"/>
                <w:u w:val="none"/>
                <w:lang w:val="en-US" w:eastAsia="zh-CN" w:bidi="ar"/>
              </w:rPr>
            </w:pPr>
            <w:r>
              <w:rPr>
                <w:rFonts w:hint="eastAsia" w:ascii="仿宋_GB2312" w:hAnsi="仿宋_GB2312" w:eastAsia="仿宋_GB2312" w:cs="仿宋_GB2312"/>
                <w:color w:val="auto"/>
                <w:kern w:val="0"/>
                <w:sz w:val="21"/>
                <w:szCs w:val="21"/>
                <w:u w:val="none"/>
                <w:lang w:val="en-US" w:eastAsia="zh-CN" w:bidi="ar"/>
              </w:rPr>
              <w:t>②资金支出进度低于80%的（质保金视为已使用资金），不得分。</w:t>
            </w:r>
          </w:p>
          <w:p>
            <w:pPr>
              <w:widowControl w:val="0"/>
              <w:adjustRightInd w:val="0"/>
              <w:snapToGrid w:val="0"/>
              <w:spacing w:beforeLines="0" w:afterLines="0" w:line="240" w:lineRule="auto"/>
              <w:jc w:val="both"/>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color w:val="auto"/>
                <w:kern w:val="0"/>
                <w:sz w:val="21"/>
                <w:szCs w:val="21"/>
                <w:u w:val="none"/>
                <w:lang w:val="en-US" w:eastAsia="zh-CN" w:bidi="ar"/>
              </w:rPr>
              <w:t>注：如中期评估被判定为“暂不通过”，6个月内重新申请评估，资金支出进度须达到100%，达到得10分，达不到不得分。</w:t>
            </w:r>
          </w:p>
        </w:tc>
        <w:tc>
          <w:tcPr>
            <w:tcW w:w="404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both"/>
              <w:textAlignment w:val="center"/>
              <w:rPr>
                <w:rFonts w:hint="eastAsia" w:ascii="仿宋_GB2312" w:hAnsi="仿宋_GB2312" w:eastAsia="仿宋_GB2312" w:cs="仿宋_GB2312"/>
                <w:color w:val="auto"/>
                <w:kern w:val="0"/>
                <w:sz w:val="21"/>
                <w:szCs w:val="21"/>
                <w:u w:val="none"/>
                <w:lang w:val="en-US" w:eastAsia="zh-CN" w:bidi="ar"/>
              </w:rPr>
            </w:pPr>
            <w:r>
              <w:rPr>
                <w:rFonts w:hint="eastAsia" w:ascii="仿宋_GB2312" w:hAnsi="仿宋_GB2312" w:eastAsia="仿宋_GB2312" w:cs="仿宋_GB2312"/>
                <w:color w:val="auto"/>
                <w:kern w:val="0"/>
                <w:sz w:val="21"/>
                <w:szCs w:val="21"/>
                <w:u w:val="none"/>
                <w:lang w:val="en-US" w:eastAsia="zh-CN" w:bidi="ar"/>
              </w:rPr>
              <w:t>反映产业园财政资金使用情况。</w:t>
            </w:r>
          </w:p>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both"/>
              <w:textAlignment w:val="center"/>
              <w:rPr>
                <w:rFonts w:hint="eastAsia" w:ascii="仿宋_GB2312" w:hAnsi="仿宋_GB2312" w:eastAsia="仿宋_GB2312" w:cs="仿宋_GB2312"/>
                <w:color w:val="auto"/>
                <w:kern w:val="0"/>
                <w:sz w:val="21"/>
                <w:szCs w:val="21"/>
                <w:u w:val="none"/>
                <w:lang w:val="en-US" w:eastAsia="zh-CN" w:bidi="ar"/>
              </w:rPr>
            </w:pPr>
            <w:r>
              <w:rPr>
                <w:rFonts w:hint="eastAsia" w:ascii="仿宋_GB2312" w:hAnsi="仿宋_GB2312" w:eastAsia="仿宋_GB2312" w:cs="仿宋_GB2312"/>
                <w:color w:val="auto"/>
                <w:kern w:val="0"/>
                <w:sz w:val="21"/>
                <w:szCs w:val="21"/>
                <w:u w:val="none"/>
                <w:lang w:val="en-US" w:eastAsia="zh-CN" w:bidi="ar"/>
              </w:rPr>
              <w:t>①质保金具体参照《建设工程质量保证金管理办法》的要求。</w:t>
            </w:r>
          </w:p>
          <w:p>
            <w:pPr>
              <w:widowControl w:val="0"/>
              <w:adjustRightInd w:val="0"/>
              <w:snapToGrid w:val="0"/>
              <w:spacing w:beforeLines="0" w:afterLines="0" w:line="240" w:lineRule="auto"/>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②</w:t>
            </w:r>
            <w:r>
              <w:rPr>
                <w:rFonts w:hint="eastAsia" w:ascii="仿宋_GB2312" w:hAnsi="仿宋_GB2312" w:eastAsia="仿宋_GB2312" w:cs="仿宋_GB2312"/>
                <w:color w:val="auto"/>
                <w:kern w:val="0"/>
                <w:sz w:val="21"/>
                <w:szCs w:val="21"/>
                <w:u w:val="none"/>
                <w:lang w:val="en-US" w:eastAsia="zh-CN" w:bidi="ar"/>
              </w:rPr>
              <w:t>该指标=已投入产业园项目建设的省级财政补助资金总额/已获得省级财政补助资金总额×100%</w:t>
            </w:r>
            <w:r>
              <w:rPr>
                <w:rFonts w:hint="eastAsia" w:ascii="仿宋_GB2312" w:hAnsi="仿宋_GB2312" w:eastAsia="仿宋_GB2312" w:cs="仿宋_GB2312"/>
                <w:color w:val="auto"/>
                <w:kern w:val="0"/>
                <w:sz w:val="21"/>
                <w:szCs w:val="21"/>
                <w:u w:val="none"/>
                <w:lang w:eastAsia="zh-CN" w:bidi="ar"/>
              </w:rPr>
              <w:t>。</w:t>
            </w:r>
          </w:p>
        </w:tc>
        <w:tc>
          <w:tcPr>
            <w:tcW w:w="72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left"/>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70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rPr>
          <w:trHeight w:val="4502" w:hRule="atLeast"/>
          <w:jc w:val="center"/>
        </w:trPr>
        <w:tc>
          <w:tcPr>
            <w:tcW w:w="1130" w:type="dxa"/>
            <w:vMerge w:val="continue"/>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Lines="0" w:afterLines="0" w:line="240" w:lineRule="auto"/>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p>
        </w:tc>
        <w:tc>
          <w:tcPr>
            <w:tcW w:w="126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撬动社会资本投入</w:t>
            </w:r>
          </w:p>
        </w:tc>
        <w:tc>
          <w:tcPr>
            <w:tcW w:w="67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10</w:t>
            </w:r>
          </w:p>
        </w:tc>
        <w:tc>
          <w:tcPr>
            <w:tcW w:w="481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left"/>
              <w:textAlignment w:val="auto"/>
              <w:rPr>
                <w:rFonts w:hint="default" w:ascii="仿宋_GB2312" w:hAnsi="仿宋_GB2312" w:eastAsia="仿宋_GB2312" w:cs="仿宋_GB2312"/>
                <w:i w:val="0"/>
                <w:iCs w:val="0"/>
                <w:color w:val="auto"/>
                <w:kern w:val="0"/>
                <w:sz w:val="21"/>
                <w:szCs w:val="21"/>
                <w:u w:val="none"/>
                <w:lang w:val="en-US" w:eastAsia="zh-CN" w:bidi="ar"/>
              </w:rPr>
            </w:pPr>
            <w:r>
              <w:rPr>
                <w:rFonts w:hint="default" w:ascii="仿宋_GB2312" w:hAnsi="仿宋_GB2312" w:eastAsia="仿宋_GB2312" w:cs="仿宋_GB2312"/>
                <w:i w:val="0"/>
                <w:iCs w:val="0"/>
                <w:color w:val="auto"/>
                <w:kern w:val="0"/>
                <w:sz w:val="21"/>
                <w:szCs w:val="21"/>
                <w:u w:val="none"/>
                <w:lang w:val="en-US" w:eastAsia="zh-CN" w:bidi="ar"/>
              </w:rPr>
              <w:t>①省级财政</w:t>
            </w:r>
            <w:r>
              <w:rPr>
                <w:rFonts w:hint="eastAsia" w:ascii="仿宋_GB2312" w:hAnsi="仿宋_GB2312" w:eastAsia="仿宋_GB2312" w:cs="仿宋_GB2312"/>
                <w:i w:val="0"/>
                <w:iCs w:val="0"/>
                <w:color w:val="auto"/>
                <w:kern w:val="0"/>
                <w:sz w:val="21"/>
                <w:szCs w:val="21"/>
                <w:u w:val="none"/>
                <w:lang w:val="en-US" w:eastAsia="zh-CN" w:bidi="ar"/>
              </w:rPr>
              <w:t>补助</w:t>
            </w:r>
            <w:r>
              <w:rPr>
                <w:rFonts w:hint="default" w:ascii="仿宋_GB2312" w:hAnsi="仿宋_GB2312" w:eastAsia="仿宋_GB2312" w:cs="仿宋_GB2312"/>
                <w:i w:val="0"/>
                <w:iCs w:val="0"/>
                <w:color w:val="auto"/>
                <w:kern w:val="0"/>
                <w:sz w:val="21"/>
                <w:szCs w:val="21"/>
                <w:u w:val="none"/>
                <w:lang w:val="en-US" w:eastAsia="zh-CN" w:bidi="ar"/>
              </w:rPr>
              <w:t>资金</w:t>
            </w:r>
            <w:r>
              <w:rPr>
                <w:rFonts w:hint="eastAsia" w:ascii="仿宋_GB2312" w:hAnsi="仿宋_GB2312" w:eastAsia="仿宋_GB2312" w:cs="仿宋_GB2312"/>
                <w:i w:val="0"/>
                <w:iCs w:val="0"/>
                <w:color w:val="auto"/>
                <w:kern w:val="0"/>
                <w:sz w:val="21"/>
                <w:szCs w:val="21"/>
                <w:u w:val="none"/>
                <w:lang w:val="en-US" w:eastAsia="zh-CN" w:bidi="ar"/>
              </w:rPr>
              <w:t>对企业的投入带动</w:t>
            </w:r>
            <w:r>
              <w:rPr>
                <w:rFonts w:hint="default" w:ascii="仿宋_GB2312" w:hAnsi="仿宋_GB2312" w:eastAsia="仿宋_GB2312" w:cs="仿宋_GB2312"/>
                <w:i w:val="0"/>
                <w:iCs w:val="0"/>
                <w:color w:val="auto"/>
                <w:kern w:val="0"/>
                <w:sz w:val="21"/>
                <w:szCs w:val="21"/>
                <w:u w:val="none"/>
                <w:lang w:val="en-US" w:eastAsia="zh-CN" w:bidi="ar"/>
              </w:rPr>
              <w:t>社会资本投入</w:t>
            </w:r>
            <w:r>
              <w:rPr>
                <w:rFonts w:hint="eastAsia" w:ascii="仿宋_GB2312" w:hAnsi="仿宋_GB2312" w:eastAsia="仿宋_GB2312" w:cs="仿宋_GB2312"/>
                <w:i w:val="0"/>
                <w:iCs w:val="0"/>
                <w:color w:val="auto"/>
                <w:kern w:val="0"/>
                <w:sz w:val="21"/>
                <w:szCs w:val="21"/>
                <w:u w:val="none"/>
                <w:lang w:val="en-US" w:eastAsia="zh-CN" w:bidi="ar"/>
              </w:rPr>
              <w:t>达3倍（含）以上的，得10</w:t>
            </w:r>
            <w:r>
              <w:rPr>
                <w:rFonts w:hint="eastAsia" w:ascii="仿宋_GB2312" w:hAnsi="仿宋_GB2312" w:eastAsia="仿宋_GB2312" w:cs="仿宋_GB2312"/>
                <w:i w:val="0"/>
                <w:iCs w:val="0"/>
                <w:color w:val="auto"/>
                <w:kern w:val="0"/>
                <w:sz w:val="21"/>
                <w:szCs w:val="21"/>
                <w:u w:val="none"/>
                <w:lang w:val="en-US" w:eastAsia="zh-Hans" w:bidi="ar"/>
              </w:rPr>
              <w:t>分</w:t>
            </w:r>
            <w:r>
              <w:rPr>
                <w:rFonts w:hint="eastAsia" w:ascii="仿宋_GB2312" w:hAnsi="仿宋_GB2312" w:eastAsia="仿宋_GB2312" w:cs="仿宋_GB2312"/>
                <w:i w:val="0"/>
                <w:iCs w:val="0"/>
                <w:color w:val="auto"/>
                <w:kern w:val="0"/>
                <w:sz w:val="21"/>
                <w:szCs w:val="21"/>
                <w:u w:val="none"/>
                <w:lang w:val="en-US" w:eastAsia="zh-CN" w:bidi="ar"/>
              </w:rPr>
              <w:t>。</w:t>
            </w:r>
          </w:p>
          <w:p>
            <w:pPr>
              <w:widowControl w:val="0"/>
              <w:adjustRightInd w:val="0"/>
              <w:snapToGrid w:val="0"/>
              <w:spacing w:beforeLines="0" w:afterLines="0" w:line="240" w:lineRule="auto"/>
              <w:jc w:val="left"/>
              <w:textAlignment w:val="auto"/>
              <w:rPr>
                <w:rFonts w:hint="eastAsia"/>
                <w:sz w:val="21"/>
                <w:szCs w:val="21"/>
                <w:lang w:val="en-US" w:eastAsia="zh-CN"/>
              </w:rPr>
            </w:pPr>
            <w:r>
              <w:rPr>
                <w:rFonts w:hint="eastAsia" w:ascii="仿宋_GB2312" w:hAnsi="仿宋_GB2312" w:eastAsia="仿宋_GB2312" w:cs="仿宋_GB2312"/>
                <w:color w:val="auto"/>
                <w:kern w:val="0"/>
                <w:sz w:val="21"/>
                <w:szCs w:val="21"/>
                <w:u w:val="none"/>
                <w:lang w:val="en-US" w:eastAsia="zh-CN" w:bidi="ar"/>
              </w:rPr>
              <w:t>②</w:t>
            </w:r>
            <w:r>
              <w:rPr>
                <w:rFonts w:hint="default" w:ascii="仿宋_GB2312" w:hAnsi="仿宋_GB2312" w:eastAsia="仿宋_GB2312" w:cs="仿宋_GB2312"/>
                <w:i w:val="0"/>
                <w:iCs w:val="0"/>
                <w:color w:val="auto"/>
                <w:kern w:val="0"/>
                <w:sz w:val="21"/>
                <w:szCs w:val="21"/>
                <w:u w:val="none"/>
                <w:lang w:val="en-US" w:eastAsia="zh-CN" w:bidi="ar"/>
              </w:rPr>
              <w:t>省级财政</w:t>
            </w:r>
            <w:r>
              <w:rPr>
                <w:rFonts w:hint="eastAsia" w:ascii="仿宋_GB2312" w:hAnsi="仿宋_GB2312" w:eastAsia="仿宋_GB2312" w:cs="仿宋_GB2312"/>
                <w:i w:val="0"/>
                <w:iCs w:val="0"/>
                <w:color w:val="auto"/>
                <w:kern w:val="0"/>
                <w:sz w:val="21"/>
                <w:szCs w:val="21"/>
                <w:u w:val="none"/>
                <w:lang w:val="en-US" w:eastAsia="zh-CN" w:bidi="ar"/>
              </w:rPr>
              <w:t>补助</w:t>
            </w:r>
            <w:r>
              <w:rPr>
                <w:rFonts w:hint="default" w:ascii="仿宋_GB2312" w:hAnsi="仿宋_GB2312" w:eastAsia="仿宋_GB2312" w:cs="仿宋_GB2312"/>
                <w:i w:val="0"/>
                <w:iCs w:val="0"/>
                <w:color w:val="auto"/>
                <w:kern w:val="0"/>
                <w:sz w:val="21"/>
                <w:szCs w:val="21"/>
                <w:u w:val="none"/>
                <w:lang w:val="en-US" w:eastAsia="zh-CN" w:bidi="ar"/>
              </w:rPr>
              <w:t>资金</w:t>
            </w:r>
            <w:r>
              <w:rPr>
                <w:rFonts w:hint="eastAsia" w:ascii="仿宋_GB2312" w:hAnsi="仿宋_GB2312" w:eastAsia="仿宋_GB2312" w:cs="仿宋_GB2312"/>
                <w:i w:val="0"/>
                <w:iCs w:val="0"/>
                <w:color w:val="auto"/>
                <w:kern w:val="0"/>
                <w:sz w:val="21"/>
                <w:szCs w:val="21"/>
                <w:u w:val="none"/>
                <w:lang w:val="en-US" w:eastAsia="zh-CN" w:bidi="ar"/>
              </w:rPr>
              <w:t>对企业的投入带动</w:t>
            </w:r>
            <w:r>
              <w:rPr>
                <w:rFonts w:hint="default" w:ascii="仿宋_GB2312" w:hAnsi="仿宋_GB2312" w:eastAsia="仿宋_GB2312" w:cs="仿宋_GB2312"/>
                <w:i w:val="0"/>
                <w:iCs w:val="0"/>
                <w:color w:val="auto"/>
                <w:kern w:val="0"/>
                <w:sz w:val="21"/>
                <w:szCs w:val="21"/>
                <w:u w:val="none"/>
                <w:lang w:val="en-US" w:eastAsia="zh-CN" w:bidi="ar"/>
              </w:rPr>
              <w:t>社会资本投入</w:t>
            </w:r>
            <w:r>
              <w:rPr>
                <w:rFonts w:hint="eastAsia" w:ascii="仿宋_GB2312" w:hAnsi="仿宋_GB2312" w:eastAsia="仿宋_GB2312" w:cs="仿宋_GB2312"/>
                <w:i w:val="0"/>
                <w:iCs w:val="0"/>
                <w:color w:val="auto"/>
                <w:kern w:val="0"/>
                <w:sz w:val="21"/>
                <w:szCs w:val="21"/>
                <w:u w:val="none"/>
                <w:lang w:val="en-US" w:eastAsia="zh-CN" w:bidi="ar"/>
              </w:rPr>
              <w:t>低于3倍的，</w:t>
            </w:r>
            <w:r>
              <w:rPr>
                <w:rFonts w:hint="eastAsia" w:ascii="仿宋_GB2312" w:hAnsi="仿宋_GB2312" w:eastAsia="仿宋_GB2312" w:cs="仿宋_GB2312"/>
                <w:i w:val="0"/>
                <w:iCs w:val="0"/>
                <w:color w:val="auto"/>
                <w:kern w:val="0"/>
                <w:sz w:val="21"/>
                <w:szCs w:val="21"/>
                <w:u w:val="none"/>
                <w:lang w:val="en-US" w:eastAsia="zh-Hans" w:bidi="ar"/>
              </w:rPr>
              <w:t>不得分</w:t>
            </w:r>
            <w:r>
              <w:rPr>
                <w:rFonts w:hint="default" w:ascii="仿宋_GB2312" w:hAnsi="仿宋_GB2312" w:eastAsia="仿宋_GB2312" w:cs="仿宋_GB2312"/>
                <w:i w:val="0"/>
                <w:iCs w:val="0"/>
                <w:color w:val="auto"/>
                <w:kern w:val="0"/>
                <w:sz w:val="21"/>
                <w:szCs w:val="21"/>
                <w:u w:val="none"/>
                <w:lang w:val="en-US" w:eastAsia="zh-Hans" w:bidi="ar"/>
              </w:rPr>
              <w:t>。</w:t>
            </w:r>
          </w:p>
        </w:tc>
        <w:tc>
          <w:tcPr>
            <w:tcW w:w="4045" w:type="dxa"/>
            <w:noWrap w:val="0"/>
            <w:vAlign w:val="center"/>
          </w:tcPr>
          <w:p>
            <w:pPr>
              <w:widowControl w:val="0"/>
              <w:adjustRightInd w:val="0"/>
              <w:snapToGrid w:val="0"/>
              <w:spacing w:beforeLines="0" w:afterLines="0" w:line="240" w:lineRule="auto"/>
              <w:jc w:val="left"/>
              <w:textAlignment w:val="auto"/>
              <w:rPr>
                <w:rFonts w:hint="eastAsia" w:ascii="仿宋_GB2312" w:hAnsi="仿宋_GB2312" w:eastAsia="仿宋_GB2312" w:cs="仿宋_GB2312"/>
                <w:color w:val="auto"/>
                <w:kern w:val="0"/>
                <w:sz w:val="21"/>
                <w:szCs w:val="21"/>
                <w:u w:val="none"/>
                <w:lang w:val="en-US" w:eastAsia="zh-CN" w:bidi="ar"/>
              </w:rPr>
            </w:pPr>
            <w:r>
              <w:rPr>
                <w:rFonts w:hint="eastAsia" w:ascii="仿宋_GB2312" w:hAnsi="仿宋_GB2312" w:eastAsia="仿宋_GB2312" w:cs="仿宋_GB2312"/>
                <w:color w:val="auto"/>
                <w:kern w:val="0"/>
                <w:sz w:val="21"/>
                <w:szCs w:val="21"/>
                <w:u w:val="none"/>
                <w:lang w:val="en-US" w:eastAsia="zh-CN" w:bidi="ar"/>
              </w:rPr>
              <w:t>反映省级财政补助资金撬动企业的自筹资金投入情况，事业单位除外。</w:t>
            </w:r>
          </w:p>
          <w:p>
            <w:pPr>
              <w:widowControl w:val="0"/>
              <w:adjustRightInd w:val="0"/>
              <w:snapToGrid w:val="0"/>
              <w:spacing w:beforeLines="0" w:afterLines="0" w:line="240" w:lineRule="auto"/>
              <w:jc w:val="both"/>
              <w:textAlignment w:val="center"/>
              <w:rPr>
                <w:rFonts w:hint="eastAsia"/>
                <w:sz w:val="21"/>
                <w:szCs w:val="21"/>
                <w:lang w:val="en-US" w:eastAsia="zh-CN"/>
              </w:rPr>
            </w:pPr>
            <w:r>
              <w:rPr>
                <w:rFonts w:hint="eastAsia" w:ascii="仿宋_GB2312" w:hAnsi="仿宋_GB2312" w:eastAsia="仿宋_GB2312" w:cs="仿宋_GB2312"/>
                <w:color w:val="auto"/>
                <w:kern w:val="0"/>
                <w:sz w:val="21"/>
                <w:szCs w:val="21"/>
                <w:u w:val="none"/>
                <w:lang w:val="en-US" w:eastAsia="zh-CN" w:bidi="ar"/>
              </w:rPr>
              <w:t>指标值=已投入产业园项目建设的社会资本投入总额/已获得的省级财政补助资金总额（除公益性基础设施建设、公益性信息支撑、公共服务平台建设、打造地方区域公用品牌、以折股量化方式投入的省级财政补助资金外）×100%。社会资本投入认定以产业园公布之日起开始计算（加工厂房土地平整、园区基础设施配套、土地购置、厂房建设或购置等，计算范围可适当放宽至产业园申报之日起）。</w:t>
            </w:r>
          </w:p>
        </w:tc>
        <w:tc>
          <w:tcPr>
            <w:tcW w:w="72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left"/>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70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rPr>
          <w:trHeight w:val="3012" w:hRule="atLeast"/>
          <w:jc w:val="center"/>
        </w:trPr>
        <w:tc>
          <w:tcPr>
            <w:tcW w:w="113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color w:val="auto"/>
                <w:kern w:val="0"/>
                <w:sz w:val="21"/>
                <w:szCs w:val="21"/>
                <w:u w:val="none"/>
                <w:lang w:val="en-US" w:eastAsia="zh-CN" w:bidi="ar"/>
              </w:rPr>
            </w:pPr>
            <w:r>
              <w:rPr>
                <w:rFonts w:hint="eastAsia" w:ascii="仿宋_GB2312" w:hAnsi="仿宋_GB2312" w:eastAsia="仿宋_GB2312" w:cs="仿宋_GB2312"/>
                <w:color w:val="auto"/>
                <w:kern w:val="0"/>
                <w:sz w:val="21"/>
                <w:szCs w:val="21"/>
                <w:u w:val="none"/>
                <w:lang w:val="en-US" w:eastAsia="zh-CN" w:bidi="ar"/>
              </w:rPr>
              <w:t>联农带农开展情况</w:t>
            </w:r>
          </w:p>
          <w:p>
            <w:pPr>
              <w:keepNext w:val="0"/>
              <w:keepLines w:val="0"/>
              <w:numPr>
                <w:ilvl w:val="0"/>
                <w:numId w:val="0"/>
              </w:numPr>
              <w:adjustRightInd w:val="0"/>
              <w:snapToGrid w:val="0"/>
              <w:spacing w:beforeLines="0" w:afterLines="0" w:line="240" w:lineRule="auto"/>
              <w:jc w:val="center"/>
              <w:textAlignment w:val="center"/>
              <w:rPr>
                <w:rFonts w:hint="eastAsia" w:eastAsia="仿宋_GB2312"/>
                <w:sz w:val="21"/>
                <w:szCs w:val="21"/>
                <w:lang w:val="en-US" w:eastAsia="zh-CN"/>
              </w:rPr>
            </w:pPr>
            <w:r>
              <w:rPr>
                <w:rFonts w:hint="eastAsia" w:ascii="仿宋_GB2312" w:hAnsi="仿宋_GB2312" w:eastAsia="仿宋_GB2312" w:cs="仿宋_GB2312"/>
                <w:i w:val="0"/>
                <w:iCs w:val="0"/>
                <w:color w:val="auto"/>
                <w:kern w:val="0"/>
                <w:sz w:val="21"/>
                <w:szCs w:val="21"/>
                <w:u w:val="none"/>
                <w:lang w:val="en-US" w:eastAsia="zh-CN" w:bidi="ar"/>
              </w:rPr>
              <w:t>（10分）</w:t>
            </w:r>
          </w:p>
        </w:tc>
        <w:tc>
          <w:tcPr>
            <w:tcW w:w="126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落实联农带农方案</w:t>
            </w:r>
          </w:p>
        </w:tc>
        <w:tc>
          <w:tcPr>
            <w:tcW w:w="67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10</w:t>
            </w:r>
          </w:p>
        </w:tc>
        <w:tc>
          <w:tcPr>
            <w:tcW w:w="481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left"/>
              <w:textAlignment w:val="auto"/>
              <w:rPr>
                <w:rFonts w:hint="eastAsia" w:ascii="仿宋_GB2312" w:hAnsi="仿宋_GB2312" w:eastAsia="仿宋_GB2312" w:cs="仿宋_GB2312"/>
                <w:color w:val="auto"/>
                <w:kern w:val="0"/>
                <w:sz w:val="21"/>
                <w:szCs w:val="21"/>
                <w:u w:val="none"/>
                <w:lang w:val="en-US" w:eastAsia="zh-CN" w:bidi="ar"/>
              </w:rPr>
            </w:pPr>
            <w:r>
              <w:rPr>
                <w:rFonts w:hint="eastAsia" w:ascii="仿宋_GB2312" w:hAnsi="仿宋_GB2312" w:eastAsia="仿宋_GB2312" w:cs="仿宋_GB2312"/>
                <w:color w:val="auto"/>
                <w:kern w:val="0"/>
                <w:sz w:val="21"/>
                <w:szCs w:val="21"/>
                <w:u w:val="none"/>
                <w:lang w:val="en-US" w:eastAsia="zh-CN" w:bidi="ar"/>
              </w:rPr>
              <w:t>①编制</w:t>
            </w:r>
            <w:r>
              <w:rPr>
                <w:rFonts w:hint="eastAsia" w:ascii="仿宋_GB2312" w:hAnsi="仿宋_GB2312" w:eastAsia="仿宋_GB2312" w:cs="仿宋_GB2312"/>
                <w:color w:val="auto"/>
                <w:kern w:val="0"/>
                <w:sz w:val="21"/>
                <w:szCs w:val="21"/>
                <w:u w:val="none"/>
                <w:lang w:eastAsia="zh-CN" w:bidi="ar"/>
              </w:rPr>
              <w:t>联农带农方案，</w:t>
            </w:r>
            <w:r>
              <w:rPr>
                <w:rFonts w:hint="eastAsia" w:ascii="仿宋_GB2312" w:hAnsi="仿宋_GB2312" w:eastAsia="仿宋_GB2312" w:cs="仿宋_GB2312"/>
                <w:color w:val="auto"/>
                <w:kern w:val="0"/>
                <w:sz w:val="21"/>
                <w:szCs w:val="21"/>
                <w:u w:val="none"/>
                <w:lang w:val="en-US" w:eastAsia="zh-CN" w:bidi="ar"/>
              </w:rPr>
              <w:t>退出机制完善，已经签订联农带农协议，明确省级财政补助资金的15%（以上）通过折算村集体资产、财政资金折股量化分红等方式用于联农带农</w:t>
            </w:r>
            <w:r>
              <w:rPr>
                <w:rFonts w:hint="eastAsia" w:ascii="仿宋_GB2312" w:hAnsi="仿宋_GB2312" w:eastAsia="仿宋_GB2312" w:cs="仿宋_GB2312"/>
                <w:snapToGrid/>
                <w:color w:val="auto"/>
                <w:kern w:val="0"/>
                <w:sz w:val="21"/>
                <w:szCs w:val="21"/>
                <w:u w:val="none"/>
                <w:shd w:val="clear" w:color="auto" w:fill="auto"/>
                <w:lang w:val="en-US" w:eastAsia="zh-CN" w:bidi="ar"/>
              </w:rPr>
              <w:t>，</w:t>
            </w:r>
            <w:r>
              <w:rPr>
                <w:rFonts w:hint="eastAsia" w:ascii="仿宋_GB2312" w:hAnsi="仿宋_GB2312" w:eastAsia="仿宋_GB2312" w:cs="仿宋_GB2312"/>
                <w:b w:val="0"/>
                <w:bCs w:val="0"/>
                <w:i w:val="0"/>
                <w:iCs w:val="0"/>
                <w:snapToGrid/>
                <w:color w:val="auto"/>
                <w:kern w:val="0"/>
                <w:sz w:val="21"/>
                <w:szCs w:val="21"/>
                <w:u w:val="none"/>
                <w:shd w:val="clear" w:color="auto" w:fill="auto"/>
                <w:lang w:val="en-US" w:eastAsia="zh-CN" w:bidi="ar"/>
              </w:rPr>
              <w:t>“资产性收益率”每年不低于3%，</w:t>
            </w:r>
            <w:r>
              <w:rPr>
                <w:rFonts w:hint="eastAsia" w:ascii="仿宋_GB2312" w:hAnsi="仿宋_GB2312" w:eastAsia="仿宋_GB2312" w:cs="仿宋_GB2312"/>
                <w:snapToGrid/>
                <w:color w:val="auto"/>
                <w:kern w:val="0"/>
                <w:sz w:val="21"/>
                <w:szCs w:val="21"/>
                <w:u w:val="none"/>
                <w:shd w:val="clear" w:color="auto" w:fill="auto"/>
                <w:lang w:val="en-US" w:eastAsia="zh-CN" w:bidi="ar"/>
              </w:rPr>
              <w:t>期限不低于5年，不超过10年</w:t>
            </w:r>
            <w:r>
              <w:rPr>
                <w:rFonts w:hint="eastAsia" w:ascii="仿宋_GB2312" w:hAnsi="仿宋_GB2312" w:eastAsia="仿宋_GB2312" w:cs="仿宋_GB2312"/>
                <w:color w:val="auto"/>
                <w:kern w:val="0"/>
                <w:sz w:val="21"/>
                <w:szCs w:val="21"/>
                <w:u w:val="none"/>
                <w:lang w:val="en-US" w:eastAsia="zh-CN" w:bidi="ar"/>
              </w:rPr>
              <w:t>的，得10分。</w:t>
            </w:r>
          </w:p>
          <w:p>
            <w:pPr>
              <w:numPr>
                <w:ilvl w:val="0"/>
                <w:numId w:val="0"/>
              </w:numPr>
              <w:adjustRightInd w:val="0"/>
              <w:snapToGrid w:val="0"/>
              <w:spacing w:beforeLines="0" w:afterLines="0" w:line="240" w:lineRule="auto"/>
              <w:jc w:val="left"/>
              <w:textAlignment w:val="auto"/>
              <w:rPr>
                <w:sz w:val="21"/>
                <w:szCs w:val="21"/>
              </w:rPr>
            </w:pPr>
            <w:r>
              <w:rPr>
                <w:rFonts w:hint="eastAsia" w:ascii="仿宋_GB2312" w:hAnsi="仿宋_GB2312" w:eastAsia="仿宋_GB2312" w:cs="仿宋_GB2312"/>
                <w:color w:val="auto"/>
                <w:kern w:val="0"/>
                <w:sz w:val="21"/>
                <w:szCs w:val="21"/>
                <w:u w:val="none"/>
                <w:lang w:val="en-US" w:eastAsia="zh-CN" w:bidi="ar"/>
              </w:rPr>
              <w:t>②未编制联农带农方案或联农带农资金分配不符合上述要求的，不得分，且中期评估评定为“暂不通过”。</w:t>
            </w:r>
          </w:p>
          <w:p>
            <w:pPr>
              <w:widowControl w:val="0"/>
              <w:adjustRightInd w:val="0"/>
              <w:snapToGrid w:val="0"/>
              <w:spacing w:beforeLines="0" w:afterLines="0" w:line="240" w:lineRule="auto"/>
              <w:jc w:val="left"/>
              <w:textAlignment w:val="auto"/>
              <w:rPr>
                <w:rFonts w:hint="default"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color w:val="auto"/>
                <w:kern w:val="0"/>
                <w:sz w:val="21"/>
                <w:szCs w:val="21"/>
                <w:u w:val="none"/>
                <w:lang w:val="en-US" w:eastAsia="zh-CN" w:bidi="ar"/>
              </w:rPr>
              <w:t>注：功能性产业园中事业单位的联农带农可采取其他形式，需编制联农带农方案，并组织实施，否则不得分。</w:t>
            </w:r>
          </w:p>
        </w:tc>
        <w:tc>
          <w:tcPr>
            <w:tcW w:w="404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left"/>
              <w:textAlignment w:val="auto"/>
              <w:rPr>
                <w:rFonts w:hint="eastAsia" w:ascii="仿宋_GB2312" w:hAnsi="仿宋_GB2312" w:eastAsia="仿宋_GB2312" w:cs="仿宋_GB2312"/>
                <w:color w:val="auto"/>
                <w:kern w:val="0"/>
                <w:sz w:val="21"/>
                <w:szCs w:val="21"/>
                <w:u w:val="none"/>
                <w:lang w:val="en-US" w:eastAsia="zh-CN" w:bidi="ar"/>
              </w:rPr>
            </w:pPr>
            <w:r>
              <w:rPr>
                <w:rFonts w:hint="eastAsia" w:ascii="仿宋_GB2312" w:hAnsi="仿宋_GB2312" w:eastAsia="仿宋_GB2312" w:cs="仿宋_GB2312"/>
                <w:color w:val="auto"/>
                <w:kern w:val="0"/>
                <w:sz w:val="21"/>
                <w:szCs w:val="21"/>
                <w:u w:val="none"/>
                <w:lang w:val="en-US" w:eastAsia="zh-CN" w:bidi="ar"/>
              </w:rPr>
              <w:t>反映产业园联农带农相关要求的落实情况。</w:t>
            </w:r>
          </w:p>
          <w:p>
            <w:pPr>
              <w:keepNext w:val="0"/>
              <w:keepLines w:val="0"/>
              <w:numPr>
                <w:ilvl w:val="0"/>
                <w:numId w:val="0"/>
              </w:numPr>
              <w:adjustRightInd w:val="0"/>
              <w:snapToGrid w:val="0"/>
              <w:spacing w:beforeLines="0" w:afterLines="0" w:line="240" w:lineRule="auto"/>
              <w:textAlignment w:val="center"/>
              <w:rPr>
                <w:rFonts w:hint="eastAsia" w:ascii="仿宋_GB2312" w:hAnsi="仿宋_GB2312" w:eastAsia="仿宋_GB2312" w:cs="仿宋_GB2312"/>
                <w:color w:val="auto"/>
                <w:kern w:val="0"/>
                <w:sz w:val="21"/>
                <w:szCs w:val="21"/>
                <w:u w:val="none"/>
                <w:lang w:val="en-US" w:eastAsia="zh-CN" w:bidi="ar"/>
              </w:rPr>
            </w:pPr>
            <w:r>
              <w:rPr>
                <w:rFonts w:hint="eastAsia" w:ascii="仿宋_GB2312" w:hAnsi="仿宋_GB2312" w:eastAsia="仿宋_GB2312" w:cs="仿宋_GB2312"/>
                <w:color w:val="auto"/>
                <w:kern w:val="0"/>
                <w:sz w:val="21"/>
                <w:szCs w:val="21"/>
                <w:u w:val="none"/>
                <w:lang w:val="en-US" w:eastAsia="zh-CN" w:bidi="ar"/>
              </w:rPr>
              <w:t>退出机制：财政资金以折股量化方式进行联农带农制定的方案中，要制定完善股权的（有偿）退出机制，保障农民集体利益。</w:t>
            </w:r>
          </w:p>
        </w:tc>
        <w:tc>
          <w:tcPr>
            <w:tcW w:w="720" w:type="dxa"/>
            <w:noWrap w:val="0"/>
            <w:vAlign w:val="center"/>
          </w:tcPr>
          <w:p>
            <w:pPr>
              <w:adjustRightInd w:val="0"/>
              <w:snapToGrid w:val="0"/>
              <w:spacing w:beforeLines="0" w:afterLines="0" w:line="240" w:lineRule="auto"/>
              <w:jc w:val="both"/>
              <w:rPr>
                <w:rFonts w:hint="default"/>
                <w:sz w:val="21"/>
                <w:szCs w:val="21"/>
                <w:lang w:val="en-US" w:eastAsia="zh-CN"/>
              </w:rPr>
            </w:pPr>
          </w:p>
        </w:tc>
        <w:tc>
          <w:tcPr>
            <w:tcW w:w="70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rPr>
          <w:trHeight w:val="989" w:hRule="atLeast"/>
          <w:jc w:val="center"/>
        </w:trPr>
        <w:tc>
          <w:tcPr>
            <w:tcW w:w="1130" w:type="dxa"/>
            <w:vMerge w:val="restart"/>
            <w:noWrap w:val="0"/>
            <w:vAlign w:val="center"/>
          </w:tcPr>
          <w:p>
            <w:pPr>
              <w:keepNext w:val="0"/>
              <w:keepLines w:val="0"/>
              <w:adjustRightInd w:val="0"/>
              <w:snapToGrid w:val="0"/>
              <w:spacing w:beforeLines="0" w:afterLines="0" w:line="240" w:lineRule="auto"/>
              <w:jc w:val="center"/>
              <w:textAlignment w:val="auto"/>
              <w:rPr>
                <w:rFonts w:hint="eastAsia" w:ascii="仿宋_GB2312" w:hAnsi="仿宋_GB2312" w:eastAsia="仿宋_GB2312" w:cs="仿宋_GB2312"/>
                <w:color w:val="auto"/>
                <w:kern w:val="0"/>
                <w:sz w:val="21"/>
                <w:szCs w:val="21"/>
                <w:u w:val="none"/>
                <w:lang w:val="en-US" w:eastAsia="zh-CN" w:bidi="ar"/>
              </w:rPr>
            </w:pPr>
            <w:r>
              <w:rPr>
                <w:rFonts w:hint="eastAsia" w:ascii="仿宋_GB2312" w:hAnsi="仿宋_GB2312" w:eastAsia="仿宋_GB2312" w:cs="仿宋_GB2312"/>
                <w:color w:val="auto"/>
                <w:kern w:val="0"/>
                <w:sz w:val="21"/>
                <w:szCs w:val="21"/>
                <w:u w:val="none"/>
                <w:lang w:val="en-US" w:eastAsia="zh-CN" w:bidi="ar"/>
              </w:rPr>
              <w:t>加减分</w:t>
            </w:r>
          </w:p>
          <w:p>
            <w:pPr>
              <w:keepNext w:val="0"/>
              <w:keepLines w:val="0"/>
              <w:adjustRightInd w:val="0"/>
              <w:snapToGrid w:val="0"/>
              <w:spacing w:beforeLines="0" w:afterLines="0" w:line="240" w:lineRule="auto"/>
              <w:jc w:val="center"/>
              <w:textAlignment w:val="auto"/>
              <w:rPr>
                <w:rFonts w:hint="eastAsia" w:ascii="仿宋_GB2312" w:hAnsi="仿宋_GB2312" w:eastAsia="仿宋_GB2312" w:cs="仿宋_GB2312"/>
                <w:color w:val="auto"/>
                <w:kern w:val="0"/>
                <w:sz w:val="21"/>
                <w:szCs w:val="21"/>
                <w:u w:val="none"/>
                <w:lang w:val="en-US" w:eastAsia="zh-CN" w:bidi="ar"/>
              </w:rPr>
            </w:pPr>
            <w:r>
              <w:rPr>
                <w:rFonts w:hint="eastAsia" w:ascii="仿宋_GB2312" w:hAnsi="仿宋_GB2312" w:eastAsia="仿宋_GB2312" w:cs="仿宋_GB2312"/>
                <w:color w:val="auto"/>
                <w:kern w:val="0"/>
                <w:sz w:val="21"/>
                <w:szCs w:val="21"/>
                <w:u w:val="none"/>
                <w:lang w:val="en-US" w:eastAsia="zh-CN" w:bidi="ar"/>
              </w:rPr>
              <w:t>及“一票</w:t>
            </w:r>
          </w:p>
          <w:p>
            <w:pPr>
              <w:keepNext w:val="0"/>
              <w:keepLines w:val="0"/>
              <w:adjustRightInd w:val="0"/>
              <w:snapToGrid w:val="0"/>
              <w:spacing w:beforeLines="0" w:afterLines="0" w:line="240" w:lineRule="auto"/>
              <w:jc w:val="center"/>
              <w:textAlignment w:val="auto"/>
              <w:rPr>
                <w:rFonts w:hint="default"/>
                <w:sz w:val="21"/>
                <w:szCs w:val="21"/>
                <w:lang w:val="en-US" w:eastAsia="zh-CN"/>
              </w:rPr>
            </w:pPr>
            <w:r>
              <w:rPr>
                <w:rFonts w:hint="eastAsia" w:ascii="仿宋_GB2312" w:hAnsi="仿宋_GB2312" w:eastAsia="仿宋_GB2312" w:cs="仿宋_GB2312"/>
                <w:snapToGrid w:val="0"/>
                <w:color w:val="auto"/>
                <w:spacing w:val="-11"/>
                <w:kern w:val="0"/>
                <w:sz w:val="21"/>
                <w:szCs w:val="21"/>
                <w:u w:val="none"/>
                <w:lang w:val="en-US" w:eastAsia="zh-CN" w:bidi="ar"/>
              </w:rPr>
              <w:t>否决”项目</w:t>
            </w:r>
          </w:p>
        </w:tc>
        <w:tc>
          <w:tcPr>
            <w:tcW w:w="126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加分</w:t>
            </w:r>
          </w:p>
        </w:tc>
        <w:tc>
          <w:tcPr>
            <w:tcW w:w="67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p>
        </w:tc>
        <w:tc>
          <w:tcPr>
            <w:tcW w:w="4815" w:type="dxa"/>
            <w:noWrap w:val="0"/>
            <w:vAlign w:val="center"/>
          </w:tcPr>
          <w:p>
            <w:pPr>
              <w:widowControl w:val="0"/>
              <w:adjustRightInd w:val="0"/>
              <w:snapToGrid w:val="0"/>
              <w:spacing w:beforeLines="0" w:afterLines="0" w:line="240" w:lineRule="auto"/>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获得中央层面奖励、表彰的，每项加5分；获得省委、省政府层面奖励、表彰的，每项加2分；累计最高加10分。</w:t>
            </w:r>
          </w:p>
        </w:tc>
        <w:tc>
          <w:tcPr>
            <w:tcW w:w="404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反映产业园领导重视、高效高质完成项目建设情况。</w:t>
            </w:r>
          </w:p>
        </w:tc>
        <w:tc>
          <w:tcPr>
            <w:tcW w:w="72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left"/>
              <w:textAlignment w:val="center"/>
              <w:rPr>
                <w:rFonts w:hint="default" w:ascii="仿宋_GB2312" w:hAnsi="仿宋_GB2312" w:eastAsia="仿宋_GB2312" w:cs="仿宋_GB2312"/>
                <w:i w:val="0"/>
                <w:iCs w:val="0"/>
                <w:color w:val="auto"/>
                <w:kern w:val="0"/>
                <w:sz w:val="21"/>
                <w:szCs w:val="21"/>
                <w:u w:val="none"/>
                <w:lang w:val="en-US" w:eastAsia="zh-CN" w:bidi="ar"/>
              </w:rPr>
            </w:pPr>
          </w:p>
        </w:tc>
        <w:tc>
          <w:tcPr>
            <w:tcW w:w="70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rPr>
          <w:trHeight w:val="2052" w:hRule="atLeast"/>
          <w:jc w:val="center"/>
        </w:trPr>
        <w:tc>
          <w:tcPr>
            <w:tcW w:w="113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p>
        </w:tc>
        <w:tc>
          <w:tcPr>
            <w:tcW w:w="126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减分</w:t>
            </w:r>
          </w:p>
        </w:tc>
        <w:tc>
          <w:tcPr>
            <w:tcW w:w="67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p>
        </w:tc>
        <w:tc>
          <w:tcPr>
            <w:tcW w:w="481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ind w:firstLine="0" w:firstLineChars="0"/>
              <w:jc w:val="both"/>
              <w:textAlignment w:val="center"/>
              <w:rPr>
                <w:rFonts w:hint="eastAsia" w:ascii="仿宋_GB2312" w:hAnsi="仿宋_GB2312" w:eastAsia="仿宋_GB2312" w:cs="仿宋_GB2312"/>
                <w:i w:val="0"/>
                <w:iCs w:val="0"/>
                <w:snapToGrid w:val="0"/>
                <w:color w:val="auto"/>
                <w:spacing w:val="6"/>
                <w:kern w:val="0"/>
                <w:sz w:val="21"/>
                <w:szCs w:val="21"/>
                <w:u w:val="none"/>
                <w:lang w:val="en-US" w:eastAsia="zh-CN" w:bidi="ar"/>
              </w:rPr>
            </w:pPr>
            <w:r>
              <w:rPr>
                <w:rFonts w:hint="eastAsia" w:ascii="仿宋_GB2312" w:hAnsi="仿宋_GB2312" w:eastAsia="仿宋_GB2312" w:cs="仿宋_GB2312"/>
                <w:i w:val="0"/>
                <w:iCs w:val="0"/>
                <w:snapToGrid w:val="0"/>
                <w:color w:val="auto"/>
                <w:spacing w:val="6"/>
                <w:kern w:val="0"/>
                <w:sz w:val="21"/>
                <w:szCs w:val="21"/>
                <w:u w:val="none"/>
                <w:lang w:val="en-US" w:eastAsia="zh-CN" w:bidi="ar"/>
              </w:rPr>
              <w:t>对存在违反</w:t>
            </w:r>
            <w:r>
              <w:rPr>
                <w:rFonts w:hint="eastAsia" w:ascii="仿宋_GB2312" w:hAnsi="仿宋_GB2312" w:eastAsia="仿宋_GB2312" w:cs="仿宋_GB2312"/>
                <w:i w:val="0"/>
                <w:iCs w:val="0"/>
                <w:color w:val="auto"/>
                <w:kern w:val="0"/>
                <w:sz w:val="21"/>
                <w:szCs w:val="21"/>
                <w:u w:val="none"/>
                <w:lang w:val="en-US" w:eastAsia="zh-CN" w:bidi="ar"/>
              </w:rPr>
              <w:t>产业园财政资金</w:t>
            </w:r>
            <w:r>
              <w:rPr>
                <w:rFonts w:hint="eastAsia" w:ascii="仿宋_GB2312" w:hAnsi="仿宋_GB2312" w:eastAsia="仿宋_GB2312" w:cs="仿宋_GB2312"/>
                <w:i w:val="0"/>
                <w:iCs w:val="0"/>
                <w:snapToGrid w:val="0"/>
                <w:color w:val="auto"/>
                <w:spacing w:val="6"/>
                <w:kern w:val="0"/>
                <w:sz w:val="21"/>
                <w:szCs w:val="21"/>
                <w:u w:val="none"/>
                <w:lang w:val="en-US" w:eastAsia="zh-CN" w:bidi="ar"/>
              </w:rPr>
              <w:t>使用范围规定以及未落实巡视、审计、财政监督发现问题整改等情况的，每出现一次扣1分，情节严重的扣2分。</w:t>
            </w:r>
          </w:p>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ind w:firstLine="0" w:firstLineChars="0"/>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对产业园建设项目发现存在农业安全事故、生态污染、违法用地的，上述情况每出现一类有及时整改的扣1分，未及时整改的扣2分。</w:t>
            </w:r>
          </w:p>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ind w:firstLine="0" w:firstLineChars="0"/>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减分项扣分不设上限。</w:t>
            </w:r>
          </w:p>
        </w:tc>
        <w:tc>
          <w:tcPr>
            <w:tcW w:w="404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both"/>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反映是否有影响产业园项目建设，造成不良后果的情况。该条仅针对监督主体通过各种正式途径发现的产业园内建设项目存在的问题和巡视、审计整改落实情况。</w:t>
            </w:r>
          </w:p>
        </w:tc>
        <w:tc>
          <w:tcPr>
            <w:tcW w:w="72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70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rPr>
          <w:trHeight w:val="951" w:hRule="atLeast"/>
          <w:jc w:val="center"/>
        </w:trPr>
        <w:tc>
          <w:tcPr>
            <w:tcW w:w="113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p>
        </w:tc>
        <w:tc>
          <w:tcPr>
            <w:tcW w:w="126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一票否决</w:t>
            </w:r>
          </w:p>
        </w:tc>
        <w:tc>
          <w:tcPr>
            <w:tcW w:w="67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p>
        </w:tc>
        <w:tc>
          <w:tcPr>
            <w:tcW w:w="481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ind w:firstLine="0" w:firstLineChars="0"/>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color w:val="auto"/>
                <w:kern w:val="0"/>
                <w:sz w:val="21"/>
                <w:szCs w:val="21"/>
                <w:u w:val="none"/>
                <w:lang w:val="en-US" w:eastAsia="zh-CN" w:bidi="ar"/>
              </w:rPr>
              <w:t>产业园牵头实施主体</w:t>
            </w:r>
            <w:r>
              <w:rPr>
                <w:rFonts w:hint="eastAsia" w:ascii="仿宋_GB2312" w:hAnsi="仿宋_GB2312" w:eastAsia="仿宋_GB2312" w:cs="仿宋_GB2312"/>
                <w:b w:val="0"/>
                <w:bCs w:val="0"/>
                <w:color w:val="auto"/>
                <w:kern w:val="0"/>
                <w:sz w:val="21"/>
                <w:szCs w:val="21"/>
                <w:u w:val="none"/>
                <w:lang w:val="en-US" w:eastAsia="zh-CN" w:bidi="ar"/>
              </w:rPr>
              <w:t>存在</w:t>
            </w:r>
            <w:r>
              <w:rPr>
                <w:rFonts w:hint="eastAsia" w:ascii="仿宋_GB2312" w:hAnsi="仿宋_GB2312" w:eastAsia="仿宋_GB2312" w:cs="仿宋_GB2312"/>
                <w:color w:val="auto"/>
                <w:kern w:val="0"/>
                <w:sz w:val="21"/>
                <w:szCs w:val="21"/>
                <w:u w:val="none"/>
                <w:lang w:val="en-US" w:eastAsia="zh-CN" w:bidi="ar"/>
              </w:rPr>
              <w:t>空壳运行、</w:t>
            </w:r>
            <w:r>
              <w:rPr>
                <w:rFonts w:hint="eastAsia" w:ascii="仿宋_GB2312" w:hAnsi="仿宋_GB2312" w:eastAsia="仿宋_GB2312" w:cs="仿宋_GB2312"/>
                <w:color w:val="auto"/>
                <w:kern w:val="0"/>
                <w:sz w:val="21"/>
                <w:szCs w:val="21"/>
                <w:u w:val="none"/>
                <w:lang w:eastAsia="zh-CN" w:bidi="ar"/>
              </w:rPr>
              <w:t>无法正常经营、</w:t>
            </w:r>
            <w:r>
              <w:rPr>
                <w:rFonts w:hint="eastAsia" w:ascii="仿宋_GB2312" w:hAnsi="仿宋_GB2312" w:eastAsia="仿宋_GB2312" w:cs="仿宋_GB2312"/>
                <w:b w:val="0"/>
                <w:bCs w:val="0"/>
                <w:i w:val="0"/>
                <w:iCs w:val="0"/>
                <w:color w:val="auto"/>
                <w:kern w:val="0"/>
                <w:sz w:val="21"/>
                <w:szCs w:val="21"/>
                <w:u w:val="none"/>
                <w:lang w:val="en-US" w:eastAsia="zh-CN" w:bidi="ar"/>
              </w:rPr>
              <w:t>套取财政资金或其他</w:t>
            </w:r>
            <w:r>
              <w:rPr>
                <w:rFonts w:hint="eastAsia" w:ascii="仿宋_GB2312" w:hAnsi="仿宋_GB2312" w:eastAsia="仿宋_GB2312" w:cs="仿宋_GB2312"/>
                <w:color w:val="auto"/>
                <w:kern w:val="0"/>
                <w:sz w:val="21"/>
                <w:szCs w:val="21"/>
                <w:u w:val="none"/>
                <w:lang w:val="en-US" w:eastAsia="zh-CN" w:bidi="ar"/>
              </w:rPr>
              <w:t>违法</w:t>
            </w:r>
            <w:r>
              <w:rPr>
                <w:rFonts w:hint="eastAsia" w:ascii="仿宋_GB2312" w:hAnsi="仿宋_GB2312" w:eastAsia="仿宋_GB2312" w:cs="仿宋_GB2312"/>
                <w:b w:val="0"/>
                <w:bCs w:val="0"/>
                <w:i w:val="0"/>
                <w:iCs w:val="0"/>
                <w:color w:val="auto"/>
                <w:kern w:val="0"/>
                <w:sz w:val="21"/>
                <w:szCs w:val="21"/>
                <w:u w:val="none"/>
                <w:lang w:val="en-US" w:eastAsia="zh-CN" w:bidi="ar"/>
              </w:rPr>
              <w:t>情况，产业园中期评估结果直接评定为“不通过”。</w:t>
            </w:r>
          </w:p>
        </w:tc>
        <w:tc>
          <w:tcPr>
            <w:tcW w:w="40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both"/>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72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70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rPr>
          <w:trHeight w:val="1009" w:hRule="atLeast"/>
          <w:jc w:val="center"/>
        </w:trPr>
        <w:tc>
          <w:tcPr>
            <w:tcW w:w="113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合计</w:t>
            </w:r>
          </w:p>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（未含</w:t>
            </w:r>
          </w:p>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加减分）</w:t>
            </w:r>
          </w:p>
        </w:tc>
        <w:tc>
          <w:tcPr>
            <w:tcW w:w="126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675" w:type="dxa"/>
            <w:noWrap w:val="0"/>
            <w:vAlign w:val="center"/>
          </w:tcPr>
          <w:p>
            <w:pPr>
              <w:keepNext w:val="0"/>
              <w:keepLines w:val="0"/>
              <w:adjustRightInd w:val="0"/>
              <w:snapToGrid w:val="0"/>
              <w:spacing w:beforeLines="0" w:afterLines="0" w:line="240" w:lineRule="auto"/>
              <w:jc w:val="center"/>
              <w:textAlignment w:val="center"/>
              <w:rPr>
                <w:rFonts w:hint="eastAsia" w:ascii="仿宋_GB2312" w:hAnsi="仿宋_GB2312" w:eastAsia="仿宋_GB2312" w:cs="仿宋_GB2312"/>
                <w:color w:val="auto"/>
                <w:kern w:val="0"/>
                <w:sz w:val="21"/>
                <w:szCs w:val="21"/>
                <w:u w:val="none"/>
                <w:lang w:val="en-US" w:eastAsia="zh-CN" w:bidi="ar"/>
              </w:rPr>
            </w:pPr>
            <w:r>
              <w:rPr>
                <w:rFonts w:hint="eastAsia" w:ascii="仿宋_GB2312" w:hAnsi="仿宋_GB2312" w:eastAsia="仿宋_GB2312" w:cs="仿宋_GB2312"/>
                <w:color w:val="auto"/>
                <w:kern w:val="0"/>
                <w:sz w:val="21"/>
                <w:szCs w:val="21"/>
                <w:u w:val="none"/>
                <w:lang w:val="en-US" w:eastAsia="zh-CN" w:bidi="ar"/>
              </w:rPr>
              <w:t>100</w:t>
            </w:r>
          </w:p>
        </w:tc>
        <w:tc>
          <w:tcPr>
            <w:tcW w:w="481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各产业园总得分最高不超过100分，如加分后总得分超过100分，则评定为100分。</w:t>
            </w:r>
          </w:p>
        </w:tc>
        <w:tc>
          <w:tcPr>
            <w:tcW w:w="404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both"/>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72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70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bl>
    <w:p>
      <w:pPr>
        <w:pStyle w:val="7"/>
        <w:keepNext w:val="0"/>
        <w:keepLines w:val="0"/>
        <w:pageBreakBefore w:val="0"/>
        <w:widowControl w:val="0"/>
        <w:kinsoku/>
        <w:wordWrap/>
        <w:overflowPunct/>
        <w:topLinePunct w:val="0"/>
        <w:autoSpaceDE/>
        <w:autoSpaceDN/>
        <w:bidi w:val="0"/>
        <w:adjustRightInd w:val="0"/>
        <w:snapToGrid w:val="0"/>
        <w:spacing w:beforeLines="0" w:afterLines="0" w:line="20" w:lineRule="exact"/>
        <w:ind w:left="0" w:leftChars="0" w:right="0" w:rightChars="0" w:firstLine="0" w:firstLineChars="0"/>
        <w:jc w:val="left"/>
        <w:textAlignment w:val="auto"/>
        <w:rPr>
          <w:rFonts w:hint="default" w:ascii="仿宋_GB2312" w:hAnsi="仿宋_GB2312" w:eastAsia="仿宋_GB2312" w:cs="仿宋_GB2312"/>
          <w:snapToGrid w:val="0"/>
          <w:kern w:val="0"/>
          <w:szCs w:val="32"/>
          <w:lang w:val="en-US" w:eastAsia="zh-CN"/>
        </w:rPr>
      </w:pPr>
      <w:bookmarkStart w:id="0" w:name="F_CSDW"/>
      <w:bookmarkEnd w:id="0"/>
    </w:p>
    <w:p>
      <w:pPr>
        <w:rPr>
          <w:rFonts w:hint="default"/>
          <w:lang w:val="en-US" w:eastAsia="zh-CN"/>
        </w:rPr>
      </w:pPr>
      <w:r>
        <w:rPr>
          <w:rFonts w:hint="default"/>
          <w:lang w:val="en-US" w:eastAsia="zh-CN"/>
        </w:rPr>
        <w:br w:type="page"/>
      </w:r>
    </w:p>
    <w:p>
      <w:pPr>
        <w:pStyle w:val="2"/>
        <w:keepNext w:val="0"/>
        <w:keepLines w:val="0"/>
        <w:adjustRightInd w:val="0"/>
        <w:snapToGrid w:val="0"/>
        <w:spacing w:before="0" w:after="0" w:line="590" w:lineRule="exact"/>
        <w:rPr>
          <w:rFonts w:hint="eastAsia" w:ascii="黑体" w:hAnsi="宋体" w:eastAsia="黑体" w:cs="黑体"/>
          <w:b w:val="0"/>
          <w:bCs w:val="0"/>
          <w:i w:val="0"/>
          <w:iCs w:val="0"/>
          <w:snapToGrid w:val="0"/>
          <w:color w:val="000000"/>
          <w:kern w:val="21"/>
          <w:sz w:val="32"/>
          <w:szCs w:val="32"/>
          <w:u w:val="none"/>
          <w:lang w:val="en-US" w:eastAsia="zh-CN" w:bidi="ar"/>
        </w:rPr>
      </w:pPr>
      <w:r>
        <w:rPr>
          <w:rFonts w:hint="eastAsia" w:ascii="黑体" w:hAnsi="宋体" w:eastAsia="黑体" w:cs="黑体"/>
          <w:b w:val="0"/>
          <w:bCs w:val="0"/>
          <w:i w:val="0"/>
          <w:iCs w:val="0"/>
          <w:snapToGrid w:val="0"/>
          <w:color w:val="000000"/>
          <w:kern w:val="21"/>
          <w:sz w:val="32"/>
          <w:szCs w:val="32"/>
          <w:u w:val="none"/>
          <w:lang w:val="en-US" w:eastAsia="zh-CN" w:bidi="ar"/>
        </w:rPr>
        <w:t>附件3</w:t>
      </w:r>
    </w:p>
    <w:p>
      <w:pPr>
        <w:adjustRightInd w:val="0"/>
        <w:snapToGrid w:val="0"/>
        <w:spacing w:line="590" w:lineRule="exact"/>
        <w:rPr>
          <w:rFonts w:hint="eastAsia" w:ascii="黑体" w:hAnsi="宋体" w:eastAsia="黑体" w:cs="黑体"/>
          <w:i w:val="0"/>
          <w:iCs w:val="0"/>
          <w:snapToGrid w:val="0"/>
          <w:color w:val="000000"/>
          <w:kern w:val="21"/>
          <w:sz w:val="32"/>
          <w:szCs w:val="32"/>
          <w:u w:val="none"/>
          <w:lang w:val="en-US" w:eastAsia="zh-CN" w:bidi="ar"/>
        </w:rPr>
      </w:pPr>
    </w:p>
    <w:p>
      <w:pPr>
        <w:pStyle w:val="2"/>
        <w:keepNext w:val="0"/>
        <w:keepLines w:val="0"/>
        <w:adjustRightInd w:val="0"/>
        <w:snapToGrid w:val="0"/>
        <w:spacing w:before="0" w:after="0" w:line="590" w:lineRule="exact"/>
        <w:jc w:val="center"/>
        <w:rPr>
          <w:rFonts w:hint="eastAsia" w:ascii="黑体" w:hAnsi="宋体" w:eastAsia="黑体" w:cs="黑体"/>
          <w:b w:val="0"/>
          <w:bCs w:val="0"/>
          <w:i w:val="0"/>
          <w:iCs w:val="0"/>
          <w:snapToGrid w:val="0"/>
          <w:color w:val="000000"/>
          <w:kern w:val="21"/>
          <w:sz w:val="44"/>
          <w:szCs w:val="44"/>
          <w:u w:val="none"/>
          <w:lang w:val="en-US" w:eastAsia="zh-CN" w:bidi="ar"/>
        </w:rPr>
      </w:pPr>
      <w:r>
        <w:rPr>
          <w:rFonts w:hint="eastAsia" w:ascii="方正小标宋简体" w:hAnsi="方正小标宋简体" w:eastAsia="方正小标宋简体" w:cs="方正小标宋简体"/>
          <w:b w:val="0"/>
          <w:bCs w:val="0"/>
          <w:i w:val="0"/>
          <w:iCs w:val="0"/>
          <w:snapToGrid w:val="0"/>
          <w:color w:val="000000"/>
          <w:kern w:val="21"/>
          <w:sz w:val="44"/>
          <w:szCs w:val="44"/>
          <w:u w:val="none"/>
          <w:lang w:val="en-US" w:eastAsia="zh-CN" w:bidi="ar"/>
        </w:rPr>
        <w:t>省级现代农业产业园建设任务完成情况表</w:t>
      </w:r>
    </w:p>
    <w:p>
      <w:pPr>
        <w:adjustRightInd w:val="0"/>
        <w:snapToGrid w:val="0"/>
        <w:spacing w:line="590" w:lineRule="exact"/>
        <w:rPr>
          <w:rFonts w:hint="eastAsia" w:ascii="宋体" w:hAnsi="宋体" w:eastAsia="宋体" w:cs="宋体"/>
          <w:i w:val="0"/>
          <w:iCs w:val="0"/>
          <w:snapToGrid w:val="0"/>
          <w:color w:val="000000"/>
          <w:kern w:val="21"/>
          <w:sz w:val="22"/>
          <w:szCs w:val="22"/>
          <w:u w:val="none"/>
          <w:lang w:val="en-US" w:eastAsia="zh-CN" w:bidi="ar"/>
        </w:rPr>
      </w:pPr>
    </w:p>
    <w:p>
      <w:pPr>
        <w:adjustRightInd w:val="0"/>
        <w:snapToGrid w:val="0"/>
        <w:spacing w:line="590" w:lineRule="exact"/>
        <w:rPr>
          <w:rFonts w:hint="eastAsia" w:ascii="仿宋_GB2312" w:hAnsi="仿宋_GB2312" w:eastAsia="仿宋_GB2312" w:cs="仿宋_GB2312"/>
          <w:snapToGrid w:val="0"/>
          <w:kern w:val="21"/>
          <w:sz w:val="24"/>
          <w:szCs w:val="24"/>
          <w:lang w:val="en-US" w:eastAsia="zh-CN"/>
        </w:rPr>
      </w:pPr>
      <w:r>
        <w:rPr>
          <w:rFonts w:hint="eastAsia" w:ascii="仿宋_GB2312" w:hAnsi="仿宋_GB2312" w:eastAsia="仿宋_GB2312" w:cs="仿宋_GB2312"/>
          <w:i w:val="0"/>
          <w:iCs w:val="0"/>
          <w:snapToGrid w:val="0"/>
          <w:color w:val="000000"/>
          <w:kern w:val="21"/>
          <w:sz w:val="24"/>
          <w:szCs w:val="24"/>
          <w:u w:val="none"/>
          <w:lang w:val="en-US" w:eastAsia="zh-CN" w:bidi="ar"/>
        </w:rPr>
        <w:t>产业园名称:                                                                   时间：</w:t>
      </w:r>
    </w:p>
    <w:tbl>
      <w:tblPr>
        <w:tblStyle w:val="5"/>
        <w:tblW w:w="133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4"/>
        <w:gridCol w:w="968"/>
        <w:gridCol w:w="961"/>
        <w:gridCol w:w="3630"/>
        <w:gridCol w:w="530"/>
        <w:gridCol w:w="511"/>
        <w:gridCol w:w="689"/>
        <w:gridCol w:w="562"/>
        <w:gridCol w:w="482"/>
        <w:gridCol w:w="703"/>
        <w:gridCol w:w="2526"/>
        <w:gridCol w:w="1331"/>
      </w:tblGrid>
      <w:tr>
        <w:trPr>
          <w:trHeight w:val="397" w:hRule="atLeast"/>
          <w:tblHeader/>
          <w:jc w:val="center"/>
        </w:trPr>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序号</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黑体" w:hAnsi="黑体" w:eastAsia="黑体" w:cs="黑体"/>
                <w:i w:val="0"/>
                <w:iCs w:val="0"/>
                <w:color w:val="000000"/>
                <w:kern w:val="0"/>
                <w:sz w:val="18"/>
                <w:szCs w:val="18"/>
                <w:u w:val="none"/>
                <w:lang w:val="en-US" w:eastAsia="zh-CN" w:bidi="ar"/>
              </w:rPr>
            </w:pPr>
            <w:r>
              <w:rPr>
                <w:rFonts w:hint="eastAsia" w:ascii="黑体" w:hAnsi="黑体" w:eastAsia="黑体" w:cs="黑体"/>
                <w:i w:val="0"/>
                <w:iCs w:val="0"/>
                <w:color w:val="000000"/>
                <w:kern w:val="0"/>
                <w:sz w:val="18"/>
                <w:szCs w:val="18"/>
                <w:u w:val="none"/>
                <w:lang w:val="en-US" w:eastAsia="zh-CN" w:bidi="ar"/>
              </w:rPr>
              <w:t>项目</w:t>
            </w:r>
          </w:p>
          <w:p>
            <w:pPr>
              <w:keepNext w:val="0"/>
              <w:keepLines w:val="0"/>
              <w:widowControl w:val="0"/>
              <w:suppressLineNumbers w:val="0"/>
              <w:adjustRightInd w:val="0"/>
              <w:snapToGrid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名称</w:t>
            </w:r>
          </w:p>
        </w:tc>
        <w:tc>
          <w:tcPr>
            <w:tcW w:w="9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建设地点（镇、村）</w:t>
            </w:r>
          </w:p>
        </w:tc>
        <w:tc>
          <w:tcPr>
            <w:tcW w:w="3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黑体" w:hAnsi="黑体" w:eastAsia="黑体" w:cs="黑体"/>
                <w:i w:val="0"/>
                <w:iCs w:val="0"/>
                <w:color w:val="000000"/>
                <w:kern w:val="0"/>
                <w:sz w:val="18"/>
                <w:szCs w:val="18"/>
                <w:u w:val="none"/>
                <w:lang w:val="en-US" w:eastAsia="zh-CN" w:bidi="ar"/>
              </w:rPr>
            </w:pPr>
            <w:r>
              <w:rPr>
                <w:rFonts w:hint="eastAsia" w:ascii="黑体" w:hAnsi="黑体" w:eastAsia="黑体" w:cs="黑体"/>
                <w:i w:val="0"/>
                <w:iCs w:val="0"/>
                <w:color w:val="000000"/>
                <w:kern w:val="0"/>
                <w:sz w:val="18"/>
                <w:szCs w:val="18"/>
                <w:u w:val="none"/>
                <w:lang w:val="en-US" w:eastAsia="zh-CN" w:bidi="ar"/>
              </w:rPr>
              <w:t>建设内容</w:t>
            </w:r>
          </w:p>
          <w:p>
            <w:pPr>
              <w:keepNext w:val="0"/>
              <w:keepLines w:val="0"/>
              <w:widowControl w:val="0"/>
              <w:suppressLineNumbers w:val="0"/>
              <w:adjustRightInd w:val="0"/>
              <w:snapToGrid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（请严格按照资金使用方案内容表述）</w:t>
            </w:r>
          </w:p>
        </w:tc>
        <w:tc>
          <w:tcPr>
            <w:tcW w:w="1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投资估算（万元）</w:t>
            </w:r>
          </w:p>
        </w:tc>
        <w:tc>
          <w:tcPr>
            <w:tcW w:w="17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黑体" w:hAnsi="黑体" w:eastAsia="黑体" w:cs="黑体"/>
                <w:i w:val="0"/>
                <w:iCs w:val="0"/>
                <w:color w:val="000000"/>
                <w:kern w:val="0"/>
                <w:sz w:val="18"/>
                <w:szCs w:val="18"/>
                <w:u w:val="none"/>
                <w:lang w:val="en-US" w:eastAsia="zh-CN" w:bidi="ar"/>
              </w:rPr>
            </w:pPr>
            <w:r>
              <w:rPr>
                <w:rFonts w:hint="eastAsia" w:ascii="黑体" w:hAnsi="黑体" w:eastAsia="黑体" w:cs="黑体"/>
                <w:i w:val="0"/>
                <w:iCs w:val="0"/>
                <w:color w:val="000000"/>
                <w:kern w:val="0"/>
                <w:sz w:val="18"/>
                <w:szCs w:val="18"/>
                <w:u w:val="none"/>
                <w:lang w:val="en-US" w:eastAsia="zh-CN" w:bidi="ar"/>
              </w:rPr>
              <w:t>实际完成情况</w:t>
            </w:r>
          </w:p>
          <w:p>
            <w:pPr>
              <w:keepNext w:val="0"/>
              <w:keepLines w:val="0"/>
              <w:widowControl w:val="0"/>
              <w:suppressLineNumbers w:val="0"/>
              <w:adjustRightInd w:val="0"/>
              <w:snapToGrid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（万元）</w:t>
            </w:r>
          </w:p>
        </w:tc>
        <w:tc>
          <w:tcPr>
            <w:tcW w:w="25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实际建设情况和运营情况</w:t>
            </w:r>
          </w:p>
        </w:tc>
        <w:tc>
          <w:tcPr>
            <w:tcW w:w="1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项目完成率%</w:t>
            </w:r>
          </w:p>
        </w:tc>
      </w:tr>
      <w:tr>
        <w:trPr>
          <w:trHeight w:val="564" w:hRule="atLeast"/>
          <w:tblHeader/>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both"/>
              <w:rPr>
                <w:rFonts w:hint="eastAsia" w:ascii="仿宋_GB2312" w:hAnsi="仿宋_GB2312" w:eastAsia="仿宋_GB2312" w:cs="仿宋_GB2312"/>
                <w:i w:val="0"/>
                <w:iCs w:val="0"/>
                <w:color w:val="000000"/>
                <w:sz w:val="18"/>
                <w:szCs w:val="18"/>
                <w:u w:val="none"/>
              </w:rPr>
            </w:pPr>
          </w:p>
        </w:tc>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both"/>
              <w:rPr>
                <w:rFonts w:hint="eastAsia" w:ascii="仿宋_GB2312" w:hAnsi="仿宋_GB2312" w:eastAsia="仿宋_GB2312" w:cs="仿宋_GB2312"/>
                <w:i w:val="0"/>
                <w:iCs w:val="0"/>
                <w:color w:val="000000"/>
                <w:sz w:val="18"/>
                <w:szCs w:val="18"/>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省级</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市县</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企业自筹</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省级</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市县</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企业自筹</w:t>
            </w:r>
          </w:p>
        </w:tc>
        <w:tc>
          <w:tcPr>
            <w:tcW w:w="2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both"/>
              <w:rPr>
                <w:rFonts w:hint="eastAsia" w:ascii="仿宋_GB2312" w:hAnsi="仿宋_GB2312" w:eastAsia="仿宋_GB2312" w:cs="仿宋_GB2312"/>
                <w:i w:val="0"/>
                <w:iCs w:val="0"/>
                <w:color w:val="000000"/>
                <w:sz w:val="18"/>
                <w:szCs w:val="18"/>
                <w:u w:val="none"/>
              </w:rPr>
            </w:pP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r>
      <w:tr>
        <w:trPr>
          <w:trHeight w:val="528" w:hRule="atLeast"/>
          <w:jc w:val="center"/>
        </w:trPr>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一、农业设施</w:t>
            </w:r>
          </w:p>
        </w:tc>
        <w:tc>
          <w:tcPr>
            <w:tcW w:w="4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参考标准：生产大棚和加工用房、节水灌溉、水肥一体化、产业园核心区道路改造、供水供电等设施设备补助</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i w:val="0"/>
                <w:iCs w:val="0"/>
                <w:color w:val="000000"/>
                <w:sz w:val="18"/>
                <w:szCs w:val="18"/>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r>
      <w:tr>
        <w:trPr>
          <w:trHeight w:val="1474" w:hRule="atLeast"/>
          <w:jc w:val="center"/>
        </w:trPr>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基地建设</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x县x镇x村x路</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1.财政资金60万元，主要用于：建设300亩智能化水肥灌溉设施。</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2.自筹资金520万元，主要用于：（1）建设山地轨道运输设施3条共计550米；（2）建设5个4*4*2.8米茶亭；（3）建设园区运输道路1公里，宽度3米，厚度15厘米。</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参考范例：</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w:t>
            </w:r>
            <w:r>
              <w:rPr>
                <w:rFonts w:hint="eastAsia" w:ascii="仿宋_GB2312" w:hAnsi="仿宋_GB2312" w:eastAsia="仿宋_GB2312" w:cs="仿宋_GB2312"/>
                <w:i w:val="0"/>
                <w:iCs w:val="0"/>
                <w:snapToGrid w:val="0"/>
                <w:color w:val="000000"/>
                <w:spacing w:val="-11"/>
                <w:kern w:val="0"/>
                <w:sz w:val="18"/>
                <w:szCs w:val="18"/>
                <w:u w:val="none"/>
                <w:lang w:val="en-US" w:eastAsia="zh-CN" w:bidi="ar"/>
              </w:rPr>
              <w:t>项目已建成完成，正常使用中；</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2.项目建设中，还有x项目未建成，预计X月可以建设完成。</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r>
      <w:tr>
        <w:trPr>
          <w:trHeight w:val="397" w:hRule="atLeast"/>
          <w:jc w:val="center"/>
        </w:trPr>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i w:val="0"/>
                <w:iCs w:val="0"/>
                <w:color w:val="000000"/>
                <w:sz w:val="18"/>
                <w:szCs w:val="18"/>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i w:val="0"/>
                <w:iCs w:val="0"/>
                <w:color w:val="000000"/>
                <w:sz w:val="18"/>
                <w:szCs w:val="18"/>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r>
      <w:tr>
        <w:trPr>
          <w:trHeight w:val="397" w:hRule="atLeast"/>
          <w:jc w:val="center"/>
        </w:trPr>
        <w:tc>
          <w:tcPr>
            <w:tcW w:w="41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968" w:type="dxa"/>
            <w:tcBorders>
              <w:top w:val="single" w:color="000000" w:sz="4" w:space="0"/>
              <w:left w:val="single" w:color="000000" w:sz="4" w:space="0"/>
              <w:bottom w:val="nil"/>
              <w:right w:val="single" w:color="000000" w:sz="4" w:space="0"/>
            </w:tcBorders>
            <w:shd w:val="clear" w:color="auto" w:fill="auto"/>
            <w:vAlign w:val="center"/>
          </w:tcPr>
          <w:p>
            <w:pPr>
              <w:adjustRightInd w:val="0"/>
              <w:snapToGrid w:val="0"/>
              <w:rPr>
                <w:rFonts w:hint="eastAsia" w:ascii="仿宋_GB2312" w:hAnsi="仿宋_GB2312" w:eastAsia="仿宋_GB2312" w:cs="仿宋_GB2312"/>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i w:val="0"/>
                <w:iCs w:val="0"/>
                <w:color w:val="000000"/>
                <w:sz w:val="18"/>
                <w:szCs w:val="18"/>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i w:val="0"/>
                <w:iCs w:val="0"/>
                <w:color w:val="000000"/>
                <w:sz w:val="18"/>
                <w:szCs w:val="18"/>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r>
      <w:tr>
        <w:trPr>
          <w:trHeight w:val="90" w:hRule="atLeast"/>
          <w:jc w:val="center"/>
        </w:trPr>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二、土地流转</w:t>
            </w:r>
          </w:p>
        </w:tc>
        <w:tc>
          <w:tcPr>
            <w:tcW w:w="4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参考标准：主要指产业园特别是核心区土地流转的租金补助</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i w:val="0"/>
                <w:iCs w:val="0"/>
                <w:color w:val="000000"/>
                <w:sz w:val="18"/>
                <w:szCs w:val="18"/>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r>
      <w:tr>
        <w:trPr>
          <w:trHeight w:val="397" w:hRule="atLeast"/>
          <w:jc w:val="center"/>
        </w:trPr>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both"/>
              <w:textAlignment w:val="center"/>
              <w:rPr>
                <w:rFonts w:hint="eastAsia" w:ascii="仿宋_GB2312" w:hAnsi="仿宋_GB2312" w:eastAsia="仿宋_GB2312" w:cs="仿宋_GB2312"/>
                <w:i w:val="0"/>
                <w:iCs w:val="0"/>
                <w:color w:val="000000"/>
                <w:sz w:val="18"/>
                <w:szCs w:val="18"/>
                <w:u w:val="none"/>
              </w:rPr>
            </w:pPr>
            <w:r>
              <w:rPr>
                <w:rStyle w:val="8"/>
                <w:rFonts w:ascii="仿宋_GB2312" w:hAnsi="仿宋_GB2312" w:eastAsia="仿宋_GB2312" w:cs="仿宋_GB2312"/>
                <w:sz w:val="18"/>
                <w:szCs w:val="18"/>
                <w:lang w:val="en-US" w:eastAsia="zh-CN" w:bidi="ar"/>
              </w:rPr>
              <w:t>土地流转287</w:t>
            </w:r>
            <w:r>
              <w:rPr>
                <w:rStyle w:val="9"/>
                <w:rFonts w:ascii="仿宋_GB2312" w:hAnsi="仿宋_GB2312" w:eastAsia="仿宋_GB2312" w:cs="仿宋_GB2312"/>
                <w:sz w:val="18"/>
                <w:szCs w:val="18"/>
                <w:lang w:val="en-US" w:eastAsia="zh-CN" w:bidi="ar"/>
              </w:rPr>
              <w:t>亩，财政资金21万元。</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填报重点：土地流转的地点、面积、完成时间等</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r>
      <w:tr>
        <w:trPr>
          <w:trHeight w:val="397" w:hRule="atLeast"/>
          <w:jc w:val="center"/>
        </w:trPr>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i w:val="0"/>
                <w:iCs w:val="0"/>
                <w:color w:val="000000"/>
                <w:sz w:val="18"/>
                <w:szCs w:val="18"/>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i w:val="0"/>
                <w:iCs w:val="0"/>
                <w:color w:val="000000"/>
                <w:sz w:val="18"/>
                <w:szCs w:val="18"/>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r>
      <w:tr>
        <w:trPr>
          <w:trHeight w:val="397" w:hRule="atLeast"/>
          <w:jc w:val="center"/>
        </w:trPr>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i w:val="0"/>
                <w:iCs w:val="0"/>
                <w:color w:val="000000"/>
                <w:sz w:val="18"/>
                <w:szCs w:val="18"/>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i w:val="0"/>
                <w:iCs w:val="0"/>
                <w:color w:val="000000"/>
                <w:sz w:val="18"/>
                <w:szCs w:val="18"/>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r>
      <w:tr>
        <w:trPr>
          <w:trHeight w:val="918" w:hRule="atLeast"/>
          <w:jc w:val="center"/>
        </w:trPr>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三、产业融合</w:t>
            </w:r>
          </w:p>
        </w:tc>
        <w:tc>
          <w:tcPr>
            <w:tcW w:w="4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参考标准：产业园农产品生产加工设备设施、产品储藏、冷链配送和流通设施的升级改造、新产业新业态设施配套等补助</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i w:val="0"/>
                <w:iCs w:val="0"/>
                <w:color w:val="000000"/>
                <w:sz w:val="18"/>
                <w:szCs w:val="18"/>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r>
      <w:tr>
        <w:trPr>
          <w:trHeight w:val="2935" w:hRule="atLeast"/>
          <w:jc w:val="center"/>
        </w:trPr>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snapToGrid w:val="0"/>
                <w:color w:val="000000"/>
                <w:spacing w:val="-11"/>
                <w:kern w:val="0"/>
                <w:sz w:val="18"/>
                <w:szCs w:val="18"/>
                <w:u w:val="none"/>
                <w:lang w:val="en-US" w:eastAsia="zh-CN" w:bidi="ar"/>
              </w:rPr>
              <w:t>x县x镇x村x路x号</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1.购置低温冷冻库1800立方及冷库配套设施设备，使用省财政资金52万元，自筹资金98万元；</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2.购置5辆冷链运输车，使用省财政资金48万元；</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3.建设冷链配送中心厂房（含地面硬体化，装修），使用自筹资金309万元；</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4.建设家禽类检测中心（农产品质量安全检测仪器设备）装修及设备购置，使用自筹资金97万元；</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5.建设库容监控监测管理系统，使用自筹资金96万元。</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参考范例：</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1.项目已建成xx平方米，预计X月可以完成；</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w:t>
            </w:r>
            <w:r>
              <w:rPr>
                <w:rFonts w:hint="eastAsia" w:ascii="仿宋_GB2312" w:hAnsi="仿宋_GB2312" w:eastAsia="仿宋_GB2312" w:cs="仿宋_GB2312"/>
                <w:i w:val="0"/>
                <w:iCs w:val="0"/>
                <w:snapToGrid w:val="0"/>
                <w:color w:val="000000"/>
                <w:spacing w:val="-6"/>
                <w:kern w:val="0"/>
                <w:sz w:val="18"/>
                <w:szCs w:val="18"/>
                <w:u w:val="none"/>
                <w:lang w:val="en-US" w:eastAsia="zh-CN" w:bidi="ar"/>
              </w:rPr>
              <w:t>设备已经购置，正常使用中；</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3.项目已建成完成，因xx原因暂未运营；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4.项目建设中，还有xx项目未建成，预计X月可以建设完成；</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5.项目已建成完成，因xx原因使用较少。</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r>
      <w:tr>
        <w:trPr>
          <w:trHeight w:val="397" w:hRule="atLeast"/>
          <w:jc w:val="center"/>
        </w:trPr>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i w:val="0"/>
                <w:iCs w:val="0"/>
                <w:color w:val="000000"/>
                <w:sz w:val="18"/>
                <w:szCs w:val="18"/>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i w:val="0"/>
                <w:iCs w:val="0"/>
                <w:color w:val="000000"/>
                <w:sz w:val="18"/>
                <w:szCs w:val="18"/>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r>
      <w:tr>
        <w:trPr>
          <w:trHeight w:val="600" w:hRule="atLeast"/>
          <w:jc w:val="center"/>
        </w:trPr>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四、科技研发与信息支撑</w:t>
            </w:r>
          </w:p>
        </w:tc>
        <w:tc>
          <w:tcPr>
            <w:tcW w:w="4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参考标准：信息化建设、技术研发和成果转换、检验检测设施设备增加等方面补助</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i w:val="0"/>
                <w:iCs w:val="0"/>
                <w:color w:val="000000"/>
                <w:sz w:val="18"/>
                <w:szCs w:val="18"/>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r>
      <w:tr>
        <w:trPr>
          <w:trHeight w:val="1325" w:hRule="atLeast"/>
          <w:jc w:val="center"/>
        </w:trPr>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both"/>
              <w:rPr>
                <w:rFonts w:hint="eastAsia" w:ascii="仿宋_GB2312" w:hAnsi="仿宋_GB2312" w:eastAsia="仿宋_GB2312" w:cs="仿宋_GB2312"/>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both"/>
              <w:rPr>
                <w:rFonts w:hint="eastAsia" w:ascii="仿宋_GB2312" w:hAnsi="仿宋_GB2312" w:eastAsia="仿宋_GB2312" w:cs="仿宋_GB2312"/>
                <w:i w:val="0"/>
                <w:iCs w:val="0"/>
                <w:color w:val="000000"/>
                <w:sz w:val="18"/>
                <w:szCs w:val="18"/>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填报重点：研究的内容、解决的问题、成果转化情况及推广的内容、地点、规模(面积、数量等)、质量、完成时间、效果</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r>
      <w:tr>
        <w:trPr>
          <w:trHeight w:val="1235" w:hRule="atLeast"/>
          <w:jc w:val="center"/>
        </w:trPr>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i w:val="0"/>
                <w:iCs w:val="0"/>
                <w:color w:val="000000"/>
                <w:sz w:val="18"/>
                <w:szCs w:val="18"/>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填报重点：信息支撑类需表述</w:t>
            </w:r>
            <w:r>
              <w:rPr>
                <w:rFonts w:hint="eastAsia" w:ascii="仿宋_GB2312" w:hAnsi="仿宋_GB2312" w:eastAsia="仿宋_GB2312" w:cs="仿宋_GB2312"/>
                <w:i w:val="0"/>
                <w:iCs w:val="0"/>
                <w:snapToGrid w:val="0"/>
                <w:color w:val="000000"/>
                <w:spacing w:val="-6"/>
                <w:kern w:val="0"/>
                <w:sz w:val="18"/>
                <w:szCs w:val="18"/>
                <w:u w:val="none"/>
                <w:lang w:val="en-US" w:eastAsia="zh-CN" w:bidi="ar"/>
              </w:rPr>
              <w:t>清楚系统地址，基本功能，服务情况，重点表述系统使用情况。</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r>
      <w:tr>
        <w:trPr>
          <w:trHeight w:val="684" w:hRule="atLeast"/>
          <w:jc w:val="center"/>
        </w:trPr>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五、农业品牌</w:t>
            </w:r>
          </w:p>
        </w:tc>
        <w:tc>
          <w:tcPr>
            <w:tcW w:w="4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参考标准：产业园主导产业产品品牌宣传和打造特色地方区域公用品牌等补助</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i w:val="0"/>
                <w:iCs w:val="0"/>
                <w:color w:val="000000"/>
                <w:sz w:val="18"/>
                <w:szCs w:val="18"/>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r>
      <w:tr>
        <w:trPr>
          <w:trHeight w:val="1912" w:hRule="atLeast"/>
          <w:jc w:val="center"/>
        </w:trPr>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both"/>
              <w:rPr>
                <w:rFonts w:hint="eastAsia" w:ascii="仿宋_GB2312" w:hAnsi="仿宋_GB2312" w:eastAsia="仿宋_GB2312" w:cs="仿宋_GB2312"/>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both"/>
              <w:rPr>
                <w:rFonts w:hint="eastAsia" w:ascii="仿宋_GB2312" w:hAnsi="仿宋_GB2312" w:eastAsia="仿宋_GB2312" w:cs="仿宋_GB2312"/>
                <w:i w:val="0"/>
                <w:iCs w:val="0"/>
                <w:color w:val="000000"/>
                <w:sz w:val="18"/>
                <w:szCs w:val="18"/>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填报重点：农业品牌类需对照资金使用方案内容表述清楚实际开展情况和效果：如申请认定多少个什么级别的品牌，多少场推广活动，多少篇（次）什么级别媒体的宣传等，取得了哪些成效等等。</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r>
      <w:tr>
        <w:trPr>
          <w:trHeight w:val="555" w:hRule="atLeast"/>
          <w:jc w:val="center"/>
        </w:trPr>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i w:val="0"/>
                <w:iCs w:val="0"/>
                <w:color w:val="000000"/>
                <w:sz w:val="18"/>
                <w:szCs w:val="18"/>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i w:val="0"/>
                <w:iCs w:val="0"/>
                <w:color w:val="000000"/>
                <w:sz w:val="18"/>
                <w:szCs w:val="18"/>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r>
      <w:tr>
        <w:trPr>
          <w:trHeight w:val="954" w:hRule="atLeast"/>
          <w:jc w:val="center"/>
        </w:trPr>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六、贷款贴息</w:t>
            </w:r>
          </w:p>
        </w:tc>
        <w:tc>
          <w:tcPr>
            <w:tcW w:w="4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snapToGrid w:val="0"/>
                <w:color w:val="000000"/>
                <w:spacing w:val="-6"/>
                <w:kern w:val="0"/>
                <w:sz w:val="18"/>
                <w:szCs w:val="18"/>
                <w:u w:val="none"/>
                <w:lang w:val="en-US" w:eastAsia="zh-CN" w:bidi="ar"/>
              </w:rPr>
              <w:t>参考标准：产业园实施主体投贷补等方式撬动更多社会资本投资产业园建设资金利息补助，贴息额不超过该企业产业园项目贷款利息总额的50%（按基准贷款利率计算）。</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i w:val="0"/>
                <w:iCs w:val="0"/>
                <w:color w:val="000000"/>
                <w:sz w:val="18"/>
                <w:szCs w:val="18"/>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r>
      <w:tr>
        <w:trPr>
          <w:trHeight w:val="884" w:hRule="atLeast"/>
          <w:jc w:val="center"/>
        </w:trPr>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both"/>
              <w:rPr>
                <w:rFonts w:hint="eastAsia" w:ascii="仿宋_GB2312" w:hAnsi="仿宋_GB2312" w:eastAsia="仿宋_GB2312" w:cs="仿宋_GB2312"/>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both"/>
              <w:rPr>
                <w:rFonts w:hint="eastAsia" w:ascii="仿宋_GB2312" w:hAnsi="仿宋_GB2312" w:eastAsia="仿宋_GB2312" w:cs="仿宋_GB2312"/>
                <w:i w:val="0"/>
                <w:iCs w:val="0"/>
                <w:color w:val="000000"/>
                <w:sz w:val="18"/>
                <w:szCs w:val="18"/>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填报重点：贷款贴息类表述清楚实际贷款项目、贷款资金和用途</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r>
      <w:tr>
        <w:trPr>
          <w:trHeight w:val="639" w:hRule="atLeast"/>
          <w:jc w:val="center"/>
        </w:trPr>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i w:val="0"/>
                <w:iCs w:val="0"/>
                <w:color w:val="000000"/>
                <w:sz w:val="18"/>
                <w:szCs w:val="18"/>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i w:val="0"/>
                <w:iCs w:val="0"/>
                <w:color w:val="000000"/>
                <w:sz w:val="18"/>
                <w:szCs w:val="18"/>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r>
      <w:tr>
        <w:trPr>
          <w:trHeight w:val="727" w:hRule="atLeast"/>
          <w:jc w:val="center"/>
        </w:trPr>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七、联农带农</w:t>
            </w:r>
          </w:p>
        </w:tc>
        <w:tc>
          <w:tcPr>
            <w:tcW w:w="4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both"/>
              <w:rPr>
                <w:rFonts w:hint="eastAsia" w:ascii="仿宋_GB2312" w:hAnsi="仿宋_GB2312" w:eastAsia="仿宋_GB2312" w:cs="仿宋_GB2312"/>
                <w:i w:val="0"/>
                <w:iCs w:val="0"/>
                <w:color w:val="000000"/>
                <w:sz w:val="18"/>
                <w:szCs w:val="18"/>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i w:val="0"/>
                <w:iCs w:val="0"/>
                <w:color w:val="000000"/>
                <w:sz w:val="18"/>
                <w:szCs w:val="18"/>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r>
      <w:tr>
        <w:trPr>
          <w:trHeight w:val="918" w:hRule="atLeast"/>
          <w:jc w:val="center"/>
        </w:trPr>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both"/>
              <w:rPr>
                <w:rFonts w:hint="eastAsia" w:ascii="仿宋_GB2312" w:hAnsi="仿宋_GB2312" w:eastAsia="仿宋_GB2312" w:cs="仿宋_GB2312"/>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both"/>
              <w:rPr>
                <w:rFonts w:hint="eastAsia" w:ascii="仿宋_GB2312" w:hAnsi="仿宋_GB2312" w:eastAsia="仿宋_GB2312" w:cs="仿宋_GB2312"/>
                <w:i w:val="0"/>
                <w:iCs w:val="0"/>
                <w:color w:val="000000"/>
                <w:sz w:val="18"/>
                <w:szCs w:val="18"/>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填报重点：联农带农类需表述清楚实际具体项目协议和分红情况。</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r>
      <w:tr>
        <w:trPr>
          <w:trHeight w:val="711" w:hRule="atLeast"/>
          <w:jc w:val="center"/>
        </w:trPr>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i w:val="0"/>
                <w:iCs w:val="0"/>
                <w:color w:val="000000"/>
                <w:sz w:val="18"/>
                <w:szCs w:val="18"/>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i w:val="0"/>
                <w:iCs w:val="0"/>
                <w:color w:val="000000"/>
                <w:sz w:val="18"/>
                <w:szCs w:val="18"/>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r>
      <w:tr>
        <w:trPr>
          <w:trHeight w:val="864" w:hRule="atLeast"/>
          <w:jc w:val="center"/>
        </w:trPr>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i w:val="0"/>
                <w:iCs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_GB2312" w:hAnsi="仿宋_GB2312" w:eastAsia="仿宋_GB2312" w:cs="仿宋_GB2312"/>
                <w:i w:val="0"/>
                <w:iCs w:val="0"/>
                <w:color w:val="000000"/>
                <w:sz w:val="18"/>
                <w:szCs w:val="18"/>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项目平均完成率(各项目完成率之和/项目总数）</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_GB2312" w:hAnsi="仿宋_GB2312" w:eastAsia="仿宋_GB2312" w:cs="仿宋_GB2312"/>
                <w:i w:val="0"/>
                <w:iCs w:val="0"/>
                <w:color w:val="000000"/>
                <w:sz w:val="18"/>
                <w:szCs w:val="18"/>
                <w:u w:val="none"/>
              </w:rPr>
            </w:pPr>
          </w:p>
        </w:tc>
      </w:tr>
      <w:tr>
        <w:trPr>
          <w:trHeight w:val="4681" w:hRule="atLeast"/>
          <w:jc w:val="center"/>
        </w:trPr>
        <w:tc>
          <w:tcPr>
            <w:tcW w:w="1330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备注：</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以产业园建设项目达到以下标准，视为完成率达到100%，以此据实评判该项目的完成进度。具体可以项目合同约定、实施主体的项目建设进度计划表等为参照。需提供建设项目前后实物现场图片和相关清单为佐证。功能性产业园可根据实际调整表格中的建设项目类型。</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跨县集群和特色产业园：</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1.农业设施建设类项目：通过综合验收并投入使用。</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2.土地流转类项目：流转双方签订流转合同，并完成支付程序。</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3.产业融合类项目：购置的设备或生产线经过试用/试运营，并通过多方验收并投产。</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4.科技研发与信息支撑类项目：信息化系统完成初验、试运营、综合验收并投入试用，或已形成软件著作或知识产权。</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5.农业品牌类项目：按资金使用方案列示建设内容完成。</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6.贴息贷款类项目：签订贴息贷款合同，并完成支付程序。</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7.联农带农类项目：联农带农资金投入上述类型项目的，按上述类型项目完成标准评判；资金投向非产业园项目的，项目合同完成并验收视为项目完成。</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功能性产业园（符合上述项目的按上述标准）：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1.购置的设备或生产线经过试用/试运营，并通过多方验收并投产的项目，视为完成；</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2.设施建设通过综合验收并投入使用的项目视为完成；</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3.科技研发以完成初验、试运营、综合验收并投入试用的项目，视为完成；</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4.已形成软件著作或知识产权的研究项目视为完成；</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5.其他按资金使用方案列示建设内容完成的项目，视为完成；</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6.联农带农资金投入上述类型项目的，按上述类型项目完成标准评判；资金投向非产业园项目的，项目合同完成并验收视为项目完成。</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0" w:usb1="00000000" w:usb2="00000000" w:usb3="00000000" w:csb0="00060000" w:csb1="00000000"/>
  </w:font>
  <w:font w:name="楷体_GB2312">
    <w:altName w:val="汉仪楷体简"/>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汉仪楷体简">
    <w:panose1 w:val="02010600000101010101"/>
    <w:charset w:val="86"/>
    <w:family w:val="auto"/>
    <w:pitch w:val="default"/>
    <w:sig w:usb0="00000000" w:usb1="00000000" w:usb2="00000000" w:usb3="00000000" w:csb0="00060000" w:csb1="00000000"/>
  </w:font>
  <w:font w:name="宋体-简">
    <w:panose1 w:val="02010600040101010101"/>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adjustRightInd w:val="0"/>
      <w:spacing w:beforeLines="200"/>
      <w:rPr>
        <w:rFonts w:hint="eastAsia" w:ascii="黑体" w:hAnsi="黑体" w:eastAsia="黑体" w:cs="黑体"/>
        <w:sz w:val="32"/>
        <w:szCs w:val="32"/>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FF2247"/>
    <w:rsid w:val="BFFF2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p0"/>
    <w:basedOn w:val="1"/>
    <w:qFormat/>
    <w:uiPriority w:val="0"/>
    <w:pPr>
      <w:widowControl/>
    </w:pPr>
    <w:rPr>
      <w:rFonts w:eastAsia="仿宋_GB2312"/>
      <w:snapToGrid w:val="0"/>
      <w:kern w:val="0"/>
      <w:szCs w:val="21"/>
    </w:rPr>
  </w:style>
  <w:style w:type="character" w:customStyle="1" w:styleId="8">
    <w:name w:val="font01"/>
    <w:basedOn w:val="6"/>
    <w:qFormat/>
    <w:uiPriority w:val="0"/>
    <w:rPr>
      <w:rFonts w:hint="eastAsia" w:ascii="宋体" w:hAnsi="宋体" w:eastAsia="宋体" w:cs="宋体"/>
      <w:color w:val="000000"/>
      <w:sz w:val="22"/>
      <w:szCs w:val="22"/>
      <w:u w:val="none"/>
    </w:rPr>
  </w:style>
  <w:style w:type="character" w:customStyle="1" w:styleId="9">
    <w:name w:val="font3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Office_5.3.0.7872_F1E327BC-269C-435d-A152-05C5408002CA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2023-09-27T12:02:00Z</dcterms:created>
  <dc:creator>张瑞蓥</dc:creator>
  <cp:lastModifiedBy>张瑞蓥</cp:lastModifiedBy>
  <dcterms:modified xsi:type="dcterms:W3CDTF">2023-09-27T12:04:18Z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2052-5.3.0.7872</vt:lpwstr>
  </property>
  <property fmtid="{D5CDD505-2E9C-101B-9397-08002B2CF9AE}" pid="3" name="ICV">
    <vt:lpwstr>ED756A75A11681615AA913657FE55C2F_41</vt:lpwstr>
  </property>
</Properties>
</file>