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bookmarkStart w:id="24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bookmarkEnd w:id="24"/>
    <w:p>
      <w:pPr>
        <w:jc w:val="left"/>
      </w:pPr>
      <w:bookmarkStart w:id="1" w:name="PO_part2Table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预算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1237.72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1229.08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1237.72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1237.72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1237.72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1237.72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预算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1237.72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1237.72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8.64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1229.08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1229.08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1229.08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1229.08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546.74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546.74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执法监管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表中功能分类科目，根据各部门实际预算编制情况编列。</w:t>
      </w:r>
    </w:p>
    <w:p>
      <w:bookmarkStart w:id="7" w:name="PO_part2Table3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1237.72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555.38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1229.08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546.74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1229.08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546.74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546.74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546.74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9"/>
    </w:p>
    <w:p>
      <w:bookmarkStart w:id="10" w:name="PO_part2Table4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1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1237.72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1229.08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1237.72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1237.72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1237.72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4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1237.72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555.38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行政事业单位养老支出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[2080501]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                          8.64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1229.08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546.74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[21301]农业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农村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1229.08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546.74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546.74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546.74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[2130110]执法监管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5"/>
    </w:p>
    <w:p>
      <w:bookmarkStart w:id="16" w:name="PO_part2Table6and7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7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[50202]会议费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[50208]公务用车运行维护费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8.44</w:t>
            </w:r>
          </w:p>
        </w:tc>
      </w:tr>
      <w:bookmarkEnd w:id="16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8"/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3"/>
        <w:tblW w:w="13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5"/>
        <w:gridCol w:w="2025"/>
        <w:gridCol w:w="357"/>
        <w:gridCol w:w="4845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25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6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252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单位名称：广东省渔政总队直属一支队</w:t>
            </w:r>
          </w:p>
        </w:tc>
        <w:tc>
          <w:tcPr>
            <w:tcW w:w="47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[502]机关商品和服务支出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[30205]水费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[30206]电费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[30209]物业管理费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[30213]维修（护）费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[50209]维修（护）费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[30216]培训费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[50203]培训费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[30218]专用材料费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[50204]专用材料购置费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[30226]劳务费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[50205]委托业务费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[30227]委托业务费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[50205]委托业务费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[30231]公务用车运行维护费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[50208]公务用车运行维护费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[50299]其他商品和服务支出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[503]机关资本性支出（一）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[31002]办公设备购置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[50306]设备购置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19" w:name="PO_part2Table8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预算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139.22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139.22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9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1" w:name="PO_part2Table9and10and1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1、行政经费包括：单位性质为行政或参公单位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2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渔政总队直属一支队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2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21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3" w:name="PO_part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8"/>
        <w:gridCol w:w="879"/>
        <w:gridCol w:w="148"/>
        <w:gridCol w:w="991"/>
        <w:gridCol w:w="90"/>
        <w:gridCol w:w="901"/>
        <w:gridCol w:w="60"/>
        <w:gridCol w:w="30"/>
        <w:gridCol w:w="818"/>
        <w:gridCol w:w="90"/>
        <w:gridCol w:w="472"/>
        <w:gridCol w:w="346"/>
        <w:gridCol w:w="908"/>
        <w:gridCol w:w="216"/>
        <w:gridCol w:w="1800"/>
        <w:gridCol w:w="90"/>
        <w:gridCol w:w="1500"/>
        <w:gridCol w:w="90"/>
        <w:gridCol w:w="2055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232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gridSpan w:val="3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13812" w:type="dxa"/>
            <w:gridSpan w:val="1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0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单位名称：广东省渔政总队直属一支队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2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32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1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7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00" w:hRule="atLeast"/>
        </w:trPr>
        <w:tc>
          <w:tcPr>
            <w:tcW w:w="32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广东省渔政总队直属一支队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555.38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555.38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555.38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481.72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481.72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481.72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65.22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65.22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65.22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8.44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8.44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8.44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1103"/>
        <w:gridCol w:w="1034"/>
        <w:gridCol w:w="1034"/>
        <w:gridCol w:w="165"/>
        <w:gridCol w:w="837"/>
        <w:gridCol w:w="543"/>
        <w:gridCol w:w="459"/>
        <w:gridCol w:w="1161"/>
        <w:gridCol w:w="1304"/>
        <w:gridCol w:w="1002"/>
        <w:gridCol w:w="2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8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92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1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单位名称：广东省渔政总队直属一支队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广东省渔政总队直属一支队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购买服务人员经费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682.34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保障执法船艇正常运转，加强政府服务人员管理，提高队伍的业务技术水平和实操能力，保证执法工作正常开展。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* </w:t>
      </w:r>
      <w:bookmarkEnd w:id="2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spacing w:line="288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1D"/>
    <w:rsid w:val="00DA1D1D"/>
    <w:rsid w:val="0F0F21F5"/>
    <w:rsid w:val="183814E7"/>
    <w:rsid w:val="18C854D0"/>
    <w:rsid w:val="1E9E42FD"/>
    <w:rsid w:val="1F4D7A16"/>
    <w:rsid w:val="21063486"/>
    <w:rsid w:val="23F01112"/>
    <w:rsid w:val="24364993"/>
    <w:rsid w:val="27F50CB4"/>
    <w:rsid w:val="2B422C75"/>
    <w:rsid w:val="2DA733E4"/>
    <w:rsid w:val="3E962DB3"/>
    <w:rsid w:val="45107991"/>
    <w:rsid w:val="4C1D37A0"/>
    <w:rsid w:val="54177224"/>
    <w:rsid w:val="57315044"/>
    <w:rsid w:val="598E3D44"/>
    <w:rsid w:val="5C8A7BF0"/>
    <w:rsid w:val="5D241072"/>
    <w:rsid w:val="63BA657A"/>
    <w:rsid w:val="704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2019-03-06T02:30:00Z</dcterms:created>
  <dc:creator>LLH</dc:creator>
  <cp:lastModifiedBy>小许</cp:lastModifiedBy>
  <dcterms:modified xsi:type="dcterms:W3CDTF">2020-02-27T02:45:40Z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